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0A470B">
        <w:rPr>
          <w:rFonts w:cs="Arial"/>
          <w:b/>
          <w:bCs/>
        </w:rPr>
        <w:t>1</w:t>
      </w:r>
      <w:r w:rsidR="000A470B" w:rsidRPr="000A470B">
        <w:rPr>
          <w:rFonts w:cs="Arial"/>
          <w:b/>
          <w:bCs/>
          <w:vertAlign w:val="superscript"/>
        </w:rPr>
        <w:t>st</w:t>
      </w:r>
      <w:r w:rsidR="000A470B">
        <w:rPr>
          <w:rFonts w:cs="Arial"/>
          <w:b/>
          <w:bCs/>
        </w:rPr>
        <w:t xml:space="preserve"> March 2016</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Risk Management Quarterly Reporting</w:t>
      </w:r>
      <w:r w:rsidR="00A91CBA">
        <w:rPr>
          <w:rFonts w:cs="Arial"/>
          <w:b/>
          <w:bCs/>
        </w:rPr>
        <w:t xml:space="preserve">: Quarter </w:t>
      </w:r>
      <w:r w:rsidR="000A470B">
        <w:rPr>
          <w:rFonts w:cs="Arial"/>
          <w:b/>
          <w:bCs/>
        </w:rPr>
        <w:t>3</w:t>
      </w:r>
      <w:r w:rsidR="00A91CBA">
        <w:rPr>
          <w:rFonts w:cs="Arial"/>
          <w:b/>
          <w:bCs/>
        </w:rPr>
        <w:t xml:space="preserve"> 2015/16</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the end of Quarter </w:t>
      </w:r>
      <w:r w:rsidR="000A470B">
        <w:rPr>
          <w:rFonts w:cs="Arial"/>
        </w:rPr>
        <w:t>3</w:t>
      </w:r>
      <w:r w:rsidR="00A91CBA" w:rsidRPr="00A91CBA">
        <w:rPr>
          <w:rFonts w:cs="Arial"/>
        </w:rPr>
        <w:t xml:space="preserve">, </w:t>
      </w:r>
      <w:r w:rsidR="000A470B">
        <w:rPr>
          <w:rFonts w:cs="Arial"/>
        </w:rPr>
        <w:t>31</w:t>
      </w:r>
      <w:r w:rsidR="000A470B" w:rsidRPr="000A470B">
        <w:rPr>
          <w:rFonts w:cs="Arial"/>
          <w:vertAlign w:val="superscript"/>
        </w:rPr>
        <w:t>st</w:t>
      </w:r>
      <w:r w:rsidR="000A470B">
        <w:rPr>
          <w:rFonts w:cs="Arial"/>
        </w:rPr>
        <w:t xml:space="preserve"> December 2016</w:t>
      </w:r>
      <w:r w:rsidR="00A91CBA" w:rsidRPr="00A91CBA">
        <w:rPr>
          <w:rFonts w:cs="Arial"/>
        </w:rPr>
        <w:t>.</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Efficient and effective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CE3DFC" w:rsidRPr="00A32A7B" w:rsidRDefault="000C5DA1" w:rsidP="005D4C4D">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3D700B" w:rsidRPr="00AC6D86">
        <w:rPr>
          <w:rFonts w:cs="Arial"/>
        </w:rPr>
        <w:t xml:space="preserve">That the </w:t>
      </w:r>
      <w:r w:rsidR="00AC4B4B" w:rsidRPr="00AC6D86">
        <w:rPr>
          <w:rFonts w:cs="Arial"/>
        </w:rPr>
        <w:t>C</w:t>
      </w:r>
      <w:r w:rsidR="00A32A7B" w:rsidRPr="00AC6D86">
        <w:rPr>
          <w:rFonts w:cs="Arial"/>
        </w:rPr>
        <w:t xml:space="preserve">ommittee </w:t>
      </w:r>
      <w:r w:rsidR="004C0C0E">
        <w:rPr>
          <w:rFonts w:cs="Arial"/>
        </w:rPr>
        <w:t>n</w:t>
      </w:r>
      <w:r w:rsidR="00A32A7B" w:rsidRPr="004C0C0E">
        <w:rPr>
          <w:rFonts w:cs="Arial"/>
        </w:rPr>
        <w:t>ote</w:t>
      </w:r>
      <w:r w:rsidR="00A91CBA" w:rsidRPr="004C0C0E">
        <w:rPr>
          <w:rFonts w:cs="Arial"/>
        </w:rPr>
        <w:t>s</w:t>
      </w:r>
      <w:r w:rsidR="00A32A7B">
        <w:rPr>
          <w:rFonts w:cs="Arial"/>
        </w:rPr>
        <w:t xml:space="preserve"> </w:t>
      </w:r>
      <w:r w:rsidR="00A91CBA" w:rsidRPr="00A91CBA">
        <w:rPr>
          <w:rFonts w:cs="Arial"/>
        </w:rPr>
        <w:t>the contents of this report</w:t>
      </w:r>
      <w:r w:rsidR="004C0C0E">
        <w:rPr>
          <w:rFonts w:cs="Arial"/>
        </w:rPr>
        <w:t xml:space="preserve">, in particular </w:t>
      </w:r>
      <w:r w:rsidR="000A470B">
        <w:rPr>
          <w:rFonts w:cs="Arial"/>
        </w:rPr>
        <w:t>that the Housing Revenue Account business plan risk has been separated from the Medium Term Financial Plan risk</w:t>
      </w:r>
      <w:r w:rsidR="00A91CBA" w:rsidRPr="00A91CBA">
        <w:rPr>
          <w:rFonts w:cs="Arial"/>
        </w:rPr>
        <w:t>.</w:t>
      </w:r>
    </w:p>
    <w:p w:rsidR="00520C82" w:rsidRP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p>
    <w:p w:rsidR="007E1B08" w:rsidRDefault="00AE0538" w:rsidP="005D4C4D">
      <w:pPr>
        <w:rPr>
          <w:rFonts w:cs="Arial"/>
          <w:b/>
        </w:rPr>
      </w:pPr>
      <w:r w:rsidRPr="00AE0538">
        <w:rPr>
          <w:rFonts w:cs="Arial"/>
          <w:b/>
        </w:rPr>
        <w:t>Appendices</w:t>
      </w:r>
      <w:r w:rsidR="00EF0FA5">
        <w:rPr>
          <w:rFonts w:cs="Arial"/>
          <w:b/>
        </w:rPr>
        <w:t>:</w:t>
      </w:r>
    </w:p>
    <w:p w:rsidR="00EF0FA5" w:rsidRPr="00AE0538" w:rsidRDefault="00EF0FA5" w:rsidP="005D4C4D">
      <w:pPr>
        <w:rPr>
          <w:rFonts w:cs="Arial"/>
          <w:b/>
        </w:rPr>
      </w:pPr>
    </w:p>
    <w:p w:rsidR="00335660" w:rsidRDefault="0018188C" w:rsidP="005D4C4D">
      <w:pPr>
        <w:rPr>
          <w:rFonts w:cs="Arial"/>
        </w:rPr>
      </w:pPr>
      <w:r>
        <w:rPr>
          <w:rFonts w:cs="Arial"/>
          <w:b/>
        </w:rPr>
        <w:t xml:space="preserve">Appendix </w:t>
      </w:r>
      <w:proofErr w:type="gramStart"/>
      <w:r>
        <w:rPr>
          <w:rFonts w:cs="Arial"/>
          <w:b/>
        </w:rPr>
        <w:t>A</w:t>
      </w:r>
      <w:proofErr w:type="gramEnd"/>
      <w:r>
        <w:rPr>
          <w:rFonts w:cs="Arial"/>
          <w:b/>
        </w:rPr>
        <w:tab/>
        <w:t>Corporate Risk Register</w:t>
      </w:r>
    </w:p>
    <w:p w:rsidR="002D3856" w:rsidRDefault="002D3856" w:rsidP="002D3856">
      <w:pPr>
        <w:rPr>
          <w:rFonts w:cs="Arial"/>
        </w:rPr>
      </w:pPr>
    </w:p>
    <w:p w:rsidR="00AE0538" w:rsidRDefault="00A91CBA" w:rsidP="002D3856">
      <w:pPr>
        <w:rPr>
          <w:rFonts w:cs="Arial"/>
          <w:b/>
        </w:rPr>
      </w:pPr>
      <w:r>
        <w:rPr>
          <w:rFonts w:cs="Arial"/>
          <w:b/>
        </w:rPr>
        <w:t>Risk Scoring Matrix</w:t>
      </w:r>
    </w:p>
    <w:p w:rsidR="00AE0538" w:rsidRDefault="00AE0538" w:rsidP="002D3856">
      <w:pPr>
        <w:rPr>
          <w:rFonts w:cs="Arial"/>
        </w:rPr>
      </w:pPr>
    </w:p>
    <w:p w:rsidR="00A32A7B" w:rsidRDefault="00A91CBA" w:rsidP="00A32A7B">
      <w:pPr>
        <w:numPr>
          <w:ilvl w:val="0"/>
          <w:numId w:val="1"/>
        </w:numPr>
        <w:ind w:left="426" w:hanging="426"/>
        <w:rPr>
          <w:rFonts w:cs="Arial"/>
        </w:rPr>
      </w:pPr>
      <w:r w:rsidRPr="00A91CBA">
        <w:rPr>
          <w:rFonts w:cs="Arial"/>
        </w:rPr>
        <w:t>The Council</w:t>
      </w:r>
      <w:r>
        <w:rPr>
          <w:rFonts w:cs="Arial"/>
        </w:rPr>
        <w:t xml:space="preserve"> operates a ‘five by five’</w:t>
      </w:r>
      <w:r w:rsidRPr="00A91CBA">
        <w:rPr>
          <w:rFonts w:cs="Arial"/>
        </w:rPr>
        <w:t xml:space="preserve"> </w:t>
      </w:r>
      <w:r>
        <w:rPr>
          <w:rFonts w:cs="Arial"/>
        </w:rPr>
        <w:t xml:space="preserve">scoring matrix.  The </w:t>
      </w:r>
      <w:r w:rsidRPr="00A91CBA">
        <w:rPr>
          <w:rFonts w:cs="Arial"/>
        </w:rPr>
        <w:t>methodology for scoring risks is set out below along with a copy of the scoring matrix</w:t>
      </w:r>
      <w:r>
        <w:rPr>
          <w:rFonts w:cs="Arial"/>
        </w:rPr>
        <w:t xml:space="preserve"> or ‘heat map’.</w:t>
      </w:r>
    </w:p>
    <w:p w:rsidR="00B73F00" w:rsidRDefault="00B73F00">
      <w:pPr>
        <w:rPr>
          <w:rFonts w:cs="Arial"/>
        </w:rPr>
      </w:pPr>
      <w:r>
        <w:rPr>
          <w:rFonts w:cs="Arial"/>
        </w:rPr>
        <w:br w:type="page"/>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32749E" w:rsidRDefault="0032749E" w:rsidP="0032749E">
      <w:pPr>
        <w:pStyle w:val="ListParagraph"/>
        <w:ind w:left="426"/>
        <w:rPr>
          <w:rFonts w:cs="Arial"/>
        </w:rPr>
      </w:pPr>
    </w:p>
    <w:tbl>
      <w:tblPr>
        <w:tblW w:w="9489" w:type="dxa"/>
        <w:tblInd w:w="-1169" w:type="dxa"/>
        <w:tblLook w:val="04A0" w:firstRow="1" w:lastRow="0" w:firstColumn="1" w:lastColumn="0" w:noHBand="0" w:noVBand="1"/>
      </w:tblPr>
      <w:tblGrid>
        <w:gridCol w:w="1660"/>
        <w:gridCol w:w="1120"/>
        <w:gridCol w:w="1340"/>
        <w:gridCol w:w="1340"/>
        <w:gridCol w:w="1340"/>
        <w:gridCol w:w="1340"/>
        <w:gridCol w:w="1349"/>
      </w:tblGrid>
      <w:tr w:rsidR="00B5477F" w:rsidRPr="00B5477F" w:rsidTr="00AC6D86">
        <w:trPr>
          <w:trHeight w:val="315"/>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b/>
                <w:bCs/>
                <w:color w:val="000000"/>
                <w:sz w:val="22"/>
                <w:szCs w:val="22"/>
                <w:lang w:eastAsia="en-GB"/>
              </w:rPr>
            </w:pPr>
            <w:r w:rsidRPr="00B5477F">
              <w:rPr>
                <w:rFonts w:ascii="Verdana" w:hAnsi="Verdana" w:cs="Arial"/>
                <w:b/>
                <w:bCs/>
                <w:color w:val="000000"/>
                <w:sz w:val="22"/>
                <w:szCs w:val="22"/>
                <w:lang w:eastAsia="en-GB"/>
              </w:rPr>
              <w:t>Probability</w:t>
            </w:r>
          </w:p>
        </w:tc>
        <w:tc>
          <w:tcPr>
            <w:tcW w:w="112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b/>
                <w:bCs/>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9"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r>
      <w:tr w:rsidR="00B5477F" w:rsidRPr="00B5477F" w:rsidTr="00AC6D86">
        <w:trPr>
          <w:trHeight w:val="600"/>
        </w:trPr>
        <w:tc>
          <w:tcPr>
            <w:tcW w:w="1660" w:type="dxa"/>
            <w:tcBorders>
              <w:top w:val="nil"/>
              <w:left w:val="nil"/>
              <w:bottom w:val="nil"/>
              <w:right w:val="nil"/>
            </w:tcBorders>
            <w:shd w:val="clear" w:color="auto" w:fill="auto"/>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Almost</w:t>
            </w:r>
            <w:r w:rsidRPr="00B5477F">
              <w:rPr>
                <w:rFonts w:ascii="Verdana" w:hAnsi="Verdana" w:cs="Arial"/>
                <w:color w:val="000000"/>
                <w:sz w:val="20"/>
                <w:szCs w:val="20"/>
                <w:lang w:eastAsia="en-GB"/>
              </w:rPr>
              <w:br/>
              <w:t>Certain</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5</w:t>
            </w:r>
          </w:p>
        </w:tc>
        <w:tc>
          <w:tcPr>
            <w:tcW w:w="1340" w:type="dxa"/>
            <w:tcBorders>
              <w:top w:val="single" w:sz="12" w:space="0" w:color="auto"/>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5</w:t>
            </w:r>
          </w:p>
        </w:tc>
        <w:tc>
          <w:tcPr>
            <w:tcW w:w="1340" w:type="dxa"/>
            <w:tcBorders>
              <w:top w:val="single" w:sz="12" w:space="0" w:color="auto"/>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10</w:t>
            </w:r>
          </w:p>
        </w:tc>
        <w:tc>
          <w:tcPr>
            <w:tcW w:w="1340" w:type="dxa"/>
            <w:tcBorders>
              <w:top w:val="single" w:sz="12" w:space="0" w:color="auto"/>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15</w:t>
            </w:r>
          </w:p>
        </w:tc>
        <w:tc>
          <w:tcPr>
            <w:tcW w:w="1340" w:type="dxa"/>
            <w:tcBorders>
              <w:top w:val="single" w:sz="12" w:space="0" w:color="auto"/>
              <w:left w:val="nil"/>
              <w:bottom w:val="nil"/>
              <w:right w:val="nil"/>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20</w:t>
            </w:r>
          </w:p>
        </w:tc>
        <w:tc>
          <w:tcPr>
            <w:tcW w:w="1349" w:type="dxa"/>
            <w:tcBorders>
              <w:top w:val="single" w:sz="12" w:space="0" w:color="auto"/>
              <w:left w:val="nil"/>
              <w:bottom w:val="nil"/>
              <w:right w:val="single" w:sz="12" w:space="0" w:color="auto"/>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25</w:t>
            </w:r>
          </w:p>
        </w:tc>
      </w:tr>
      <w:tr w:rsidR="00B5477F" w:rsidRPr="00B5477F" w:rsidTr="00AC6D86">
        <w:trPr>
          <w:trHeight w:val="600"/>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Likely</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4</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4</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8</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12</w:t>
            </w:r>
          </w:p>
        </w:tc>
        <w:tc>
          <w:tcPr>
            <w:tcW w:w="1340" w:type="dxa"/>
            <w:tcBorders>
              <w:top w:val="nil"/>
              <w:left w:val="nil"/>
              <w:bottom w:val="nil"/>
              <w:right w:val="nil"/>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16</w:t>
            </w:r>
          </w:p>
        </w:tc>
        <w:tc>
          <w:tcPr>
            <w:tcW w:w="1349" w:type="dxa"/>
            <w:tcBorders>
              <w:top w:val="nil"/>
              <w:left w:val="nil"/>
              <w:bottom w:val="nil"/>
              <w:right w:val="single" w:sz="12" w:space="0" w:color="auto"/>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20</w:t>
            </w:r>
          </w:p>
        </w:tc>
      </w:tr>
      <w:tr w:rsidR="00B5477F" w:rsidRPr="00B5477F" w:rsidTr="00AC6D86">
        <w:trPr>
          <w:trHeight w:val="600"/>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Possible</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3</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3</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9</w:t>
            </w:r>
          </w:p>
        </w:tc>
        <w:tc>
          <w:tcPr>
            <w:tcW w:w="1340" w:type="dxa"/>
            <w:tcBorders>
              <w:top w:val="nil"/>
              <w:left w:val="nil"/>
              <w:bottom w:val="nil"/>
              <w:right w:val="nil"/>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12</w:t>
            </w:r>
          </w:p>
        </w:tc>
        <w:tc>
          <w:tcPr>
            <w:tcW w:w="1349" w:type="dxa"/>
            <w:tcBorders>
              <w:top w:val="nil"/>
              <w:left w:val="nil"/>
              <w:bottom w:val="nil"/>
              <w:right w:val="single" w:sz="12" w:space="0" w:color="auto"/>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15</w:t>
            </w:r>
          </w:p>
        </w:tc>
      </w:tr>
      <w:tr w:rsidR="00B5477F" w:rsidRPr="00B5477F" w:rsidTr="00AC6D86">
        <w:trPr>
          <w:trHeight w:val="600"/>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Unlikely</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2</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4</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8</w:t>
            </w:r>
          </w:p>
        </w:tc>
        <w:tc>
          <w:tcPr>
            <w:tcW w:w="1349" w:type="dxa"/>
            <w:tcBorders>
              <w:top w:val="nil"/>
              <w:left w:val="nil"/>
              <w:bottom w:val="nil"/>
              <w:right w:val="single" w:sz="12" w:space="0" w:color="auto"/>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10</w:t>
            </w:r>
          </w:p>
        </w:tc>
      </w:tr>
      <w:tr w:rsidR="00B5477F" w:rsidRPr="00B5477F" w:rsidTr="00AC6D86">
        <w:trPr>
          <w:trHeight w:val="600"/>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Rare</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1</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3</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4</w:t>
            </w:r>
          </w:p>
        </w:tc>
        <w:tc>
          <w:tcPr>
            <w:tcW w:w="1349" w:type="dxa"/>
            <w:tcBorders>
              <w:top w:val="nil"/>
              <w:left w:val="nil"/>
              <w:bottom w:val="single" w:sz="12" w:space="0" w:color="auto"/>
              <w:right w:val="single" w:sz="12" w:space="0" w:color="auto"/>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5</w:t>
            </w:r>
          </w:p>
        </w:tc>
      </w:tr>
      <w:tr w:rsidR="00B5477F" w:rsidRPr="00B5477F" w:rsidTr="00AC6D86">
        <w:trPr>
          <w:trHeight w:val="315"/>
        </w:trPr>
        <w:tc>
          <w:tcPr>
            <w:tcW w:w="166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12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1</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2</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3</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4</w:t>
            </w:r>
          </w:p>
        </w:tc>
        <w:tc>
          <w:tcPr>
            <w:tcW w:w="1349"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5</w:t>
            </w:r>
          </w:p>
        </w:tc>
      </w:tr>
      <w:tr w:rsidR="00B5477F" w:rsidRPr="00B5477F" w:rsidTr="00AC6D86">
        <w:trPr>
          <w:trHeight w:val="300"/>
        </w:trPr>
        <w:tc>
          <w:tcPr>
            <w:tcW w:w="166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18"/>
                <w:szCs w:val="18"/>
                <w:lang w:eastAsia="en-GB"/>
              </w:rPr>
            </w:pPr>
          </w:p>
        </w:tc>
        <w:tc>
          <w:tcPr>
            <w:tcW w:w="112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b/>
                <w:bCs/>
                <w:color w:val="000000"/>
                <w:sz w:val="22"/>
                <w:szCs w:val="22"/>
                <w:lang w:eastAsia="en-GB"/>
              </w:rPr>
            </w:pPr>
            <w:r w:rsidRPr="00B5477F">
              <w:rPr>
                <w:rFonts w:ascii="Verdana" w:hAnsi="Verdana" w:cs="Arial"/>
                <w:b/>
                <w:bCs/>
                <w:color w:val="000000"/>
                <w:sz w:val="22"/>
                <w:szCs w:val="22"/>
                <w:lang w:eastAsia="en-GB"/>
              </w:rPr>
              <w:t>Impact</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Insignificant</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Minor</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Moderate</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Major</w:t>
            </w:r>
          </w:p>
        </w:tc>
        <w:tc>
          <w:tcPr>
            <w:tcW w:w="1349"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Catastrophic</w:t>
            </w:r>
          </w:p>
        </w:tc>
      </w:tr>
    </w:tbl>
    <w:p w:rsidR="00B5477F" w:rsidRDefault="00B5477F" w:rsidP="0032749E">
      <w:pPr>
        <w:pStyle w:val="ListParagraph"/>
        <w:ind w:left="426"/>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A91CBA" w:rsidRDefault="00A91CBA" w:rsidP="0032749E">
      <w:pPr>
        <w:pStyle w:val="ListParagraph"/>
        <w:ind w:left="426"/>
        <w:rPr>
          <w:rFonts w:cs="Arial"/>
        </w:rPr>
      </w:pPr>
    </w:p>
    <w:p w:rsidR="00A91CBA" w:rsidRDefault="00A91CBA" w:rsidP="00A91CBA">
      <w:pPr>
        <w:rPr>
          <w:rFonts w:cs="Arial"/>
          <w:b/>
        </w:rPr>
      </w:pPr>
      <w:r>
        <w:rPr>
          <w:rFonts w:cs="Arial"/>
          <w:b/>
        </w:rPr>
        <w:t xml:space="preserve">Risk </w:t>
      </w:r>
      <w:r w:rsidRPr="00A91CBA">
        <w:rPr>
          <w:rFonts w:cs="Arial"/>
          <w:b/>
        </w:rPr>
        <w:t>Identification</w:t>
      </w:r>
    </w:p>
    <w:p w:rsidR="00A91CBA" w:rsidRDefault="00A91CBA" w:rsidP="0032749E">
      <w:pPr>
        <w:pStyle w:val="ListParagraph"/>
        <w:ind w:left="426"/>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quarterly basis, any new risks are incorporated into a revised version of the CRR.  Risk owners for corporate risks are generally at Director </w:t>
      </w:r>
      <w:proofErr w:type="gramStart"/>
      <w:r w:rsidRPr="00A91CBA">
        <w:rPr>
          <w:rFonts w:cs="Arial"/>
        </w:rPr>
        <w:t>level</w:t>
      </w:r>
      <w:proofErr w:type="gramEnd"/>
      <w:r w:rsidRPr="00A91CBA">
        <w:rPr>
          <w:rFonts w:cs="Arial"/>
        </w:rPr>
        <w:t>.</w:t>
      </w:r>
    </w:p>
    <w:p w:rsidR="00A91CBA" w:rsidRDefault="00A91CBA" w:rsidP="00A91CBA">
      <w:pPr>
        <w:ind w:left="426"/>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area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Default="001135F8" w:rsidP="001135F8">
      <w:pPr>
        <w:pStyle w:val="ListParagraph"/>
        <w:ind w:left="426"/>
        <w:rPr>
          <w:rFonts w:cs="Arial"/>
        </w:rPr>
      </w:pPr>
    </w:p>
    <w:p w:rsidR="001135F8" w:rsidRDefault="001135F8" w:rsidP="00A32A7B">
      <w:pPr>
        <w:numPr>
          <w:ilvl w:val="0"/>
          <w:numId w:val="1"/>
        </w:numPr>
        <w:ind w:left="426" w:hanging="426"/>
        <w:rPr>
          <w:rFonts w:cs="Arial"/>
        </w:rPr>
      </w:pPr>
      <w:r w:rsidRPr="001135F8">
        <w:rPr>
          <w:rFonts w:cs="Arial"/>
          <w:b/>
        </w:rPr>
        <w:t xml:space="preserve">Project and Programme Risk – </w:t>
      </w:r>
      <w:r w:rsidRPr="001135F8">
        <w:rPr>
          <w:rFonts w:cs="Arial"/>
        </w:rPr>
        <w:t>The Council adopts the principles of Prince2 methodology for managing projects. Incorporated within this methodology is a robust process for the management of risk within a project environment.  Each project is managed by the Project Manager who controls and co-ordinates all aspects of the project through to conclusion.</w:t>
      </w:r>
    </w:p>
    <w:p w:rsidR="0032749E" w:rsidRDefault="0032749E" w:rsidP="0032749E">
      <w:pPr>
        <w:ind w:left="426"/>
        <w:rPr>
          <w:rFonts w:cs="Arial"/>
        </w:rPr>
      </w:pPr>
    </w:p>
    <w:p w:rsidR="0032749E" w:rsidRPr="00A32A7B" w:rsidRDefault="001135F8" w:rsidP="0032749E">
      <w:pPr>
        <w:rPr>
          <w:rFonts w:cs="Arial"/>
          <w:b/>
        </w:rPr>
      </w:pPr>
      <w:r>
        <w:rPr>
          <w:rFonts w:cs="Arial"/>
          <w:b/>
        </w:rPr>
        <w:t xml:space="preserve">Quarter </w:t>
      </w:r>
      <w:r w:rsidR="000A470B">
        <w:rPr>
          <w:rFonts w:cs="Arial"/>
          <w:b/>
        </w:rPr>
        <w:t>3</w:t>
      </w:r>
      <w:r>
        <w:rPr>
          <w:rFonts w:cs="Arial"/>
          <w:b/>
        </w:rPr>
        <w:t xml:space="preserve"> Corporate Risk Register</w:t>
      </w:r>
    </w:p>
    <w:p w:rsidR="0032749E" w:rsidRPr="00A32A7B" w:rsidRDefault="0032749E" w:rsidP="0032749E">
      <w:pPr>
        <w:rPr>
          <w:rFonts w:cs="Arial"/>
        </w:rPr>
      </w:pPr>
    </w:p>
    <w:p w:rsidR="0032749E" w:rsidRDefault="001135F8" w:rsidP="00A32A7B">
      <w:pPr>
        <w:numPr>
          <w:ilvl w:val="0"/>
          <w:numId w:val="1"/>
        </w:numPr>
        <w:ind w:left="426" w:hanging="426"/>
        <w:rPr>
          <w:rFonts w:cs="Arial"/>
        </w:rPr>
      </w:pPr>
      <w:r w:rsidRPr="001135F8">
        <w:rPr>
          <w:rFonts w:cs="Arial"/>
        </w:rPr>
        <w:t xml:space="preserve">The Corporate Risk Register </w:t>
      </w:r>
      <w:r w:rsidR="000A470B">
        <w:rPr>
          <w:rFonts w:cs="Arial"/>
        </w:rPr>
        <w:t xml:space="preserve">is attached at </w:t>
      </w:r>
      <w:r w:rsidRPr="001135F8">
        <w:rPr>
          <w:rFonts w:cs="Arial"/>
        </w:rPr>
        <w:t>Appendix A</w:t>
      </w:r>
      <w:r w:rsidR="000A470B">
        <w:rPr>
          <w:rFonts w:cs="Arial"/>
        </w:rPr>
        <w:t xml:space="preserve">.  The Housing Revenue Account </w:t>
      </w:r>
      <w:r w:rsidR="00692CAE">
        <w:rPr>
          <w:rFonts w:cs="Arial"/>
        </w:rPr>
        <w:t>B</w:t>
      </w:r>
      <w:r w:rsidR="000A470B">
        <w:rPr>
          <w:rFonts w:cs="Arial"/>
        </w:rPr>
        <w:t xml:space="preserve">usiness </w:t>
      </w:r>
      <w:r w:rsidR="00692CAE">
        <w:rPr>
          <w:rFonts w:cs="Arial"/>
        </w:rPr>
        <w:t>P</w:t>
      </w:r>
      <w:r w:rsidR="000A470B">
        <w:rPr>
          <w:rFonts w:cs="Arial"/>
        </w:rPr>
        <w:t xml:space="preserve">lan risk has been separated from the Medium Term Financial Strategy due to the significantly different risk level.  This increases the number of risks being monitored from 6 to </w:t>
      </w:r>
      <w:proofErr w:type="gramStart"/>
      <w:r w:rsidR="000A470B">
        <w:rPr>
          <w:rFonts w:cs="Arial"/>
        </w:rPr>
        <w:t>7,</w:t>
      </w:r>
      <w:proofErr w:type="gramEnd"/>
      <w:r w:rsidR="000A470B">
        <w:rPr>
          <w:rFonts w:cs="Arial"/>
        </w:rPr>
        <w:t xml:space="preserve"> however</w:t>
      </w:r>
      <w:r w:rsidR="00692CAE">
        <w:rPr>
          <w:rFonts w:cs="Arial"/>
        </w:rPr>
        <w:t>,</w:t>
      </w:r>
      <w:r w:rsidR="000A470B">
        <w:rPr>
          <w:rFonts w:cs="Arial"/>
        </w:rPr>
        <w:t xml:space="preserve"> there is no overall increase in risk to the Council from the level </w:t>
      </w:r>
      <w:r w:rsidR="000A470B">
        <w:rPr>
          <w:rFonts w:cs="Arial"/>
        </w:rPr>
        <w:lastRenderedPageBreak/>
        <w:t xml:space="preserve">that was there at Quarter 2.  The </w:t>
      </w:r>
      <w:r w:rsidR="000A470B" w:rsidRPr="000A470B">
        <w:rPr>
          <w:rFonts w:cs="Arial"/>
        </w:rPr>
        <w:t xml:space="preserve">Housing Revenue Account </w:t>
      </w:r>
      <w:r w:rsidR="00692CAE">
        <w:rPr>
          <w:rFonts w:cs="Arial"/>
        </w:rPr>
        <w:t>B</w:t>
      </w:r>
      <w:r w:rsidR="000A470B" w:rsidRPr="000A470B">
        <w:rPr>
          <w:rFonts w:cs="Arial"/>
        </w:rPr>
        <w:t xml:space="preserve">usiness </w:t>
      </w:r>
      <w:r w:rsidR="00692CAE">
        <w:rPr>
          <w:rFonts w:cs="Arial"/>
        </w:rPr>
        <w:t>P</w:t>
      </w:r>
      <w:r w:rsidR="000A470B" w:rsidRPr="000A470B">
        <w:rPr>
          <w:rFonts w:cs="Arial"/>
        </w:rPr>
        <w:t>lan risk</w:t>
      </w:r>
      <w:r w:rsidR="000A470B">
        <w:rPr>
          <w:rFonts w:cs="Arial"/>
        </w:rPr>
        <w:t xml:space="preserve"> is still a red risk as at Quarter 3, although due to the ongoing changes in this area there is even closer monitoring and assessment of this risk than normal.</w:t>
      </w:r>
      <w:r w:rsidR="005D6DCA">
        <w:rPr>
          <w:rFonts w:cs="Arial"/>
        </w:rPr>
        <w:t xml:space="preserve"> </w:t>
      </w:r>
      <w:r w:rsidRPr="001135F8">
        <w:rPr>
          <w:rFonts w:cs="Arial"/>
        </w:rPr>
        <w:t xml:space="preserve"> The table below shows the movement of risks over the last 15 months.</w:t>
      </w:r>
    </w:p>
    <w:p w:rsidR="000116FF" w:rsidRDefault="000116FF" w:rsidP="000116FF">
      <w:pPr>
        <w:ind w:left="426"/>
        <w:rPr>
          <w:rFonts w:cs="Arial"/>
        </w:rPr>
      </w:pPr>
    </w:p>
    <w:tbl>
      <w:tblPr>
        <w:tblW w:w="7260" w:type="dxa"/>
        <w:tblInd w:w="720" w:type="dxa"/>
        <w:tblLook w:val="04A0" w:firstRow="1" w:lastRow="0" w:firstColumn="1" w:lastColumn="0" w:noHBand="0" w:noVBand="1"/>
      </w:tblPr>
      <w:tblGrid>
        <w:gridCol w:w="1660"/>
        <w:gridCol w:w="1120"/>
        <w:gridCol w:w="1120"/>
        <w:gridCol w:w="1120"/>
        <w:gridCol w:w="1120"/>
        <w:gridCol w:w="1120"/>
      </w:tblGrid>
      <w:tr w:rsidR="000A470B" w:rsidRPr="000A470B" w:rsidTr="000A470B">
        <w:trPr>
          <w:trHeight w:val="315"/>
        </w:trPr>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A470B" w:rsidRPr="000A470B" w:rsidRDefault="000A470B" w:rsidP="000A470B">
            <w:pPr>
              <w:rPr>
                <w:rFonts w:cs="Arial"/>
                <w:b/>
                <w:bCs/>
                <w:color w:val="000000"/>
                <w:lang w:eastAsia="en-GB"/>
              </w:rPr>
            </w:pPr>
            <w:r w:rsidRPr="000A470B">
              <w:rPr>
                <w:rFonts w:cs="Arial"/>
                <w:b/>
                <w:bCs/>
                <w:color w:val="000000"/>
                <w:lang w:eastAsia="en-GB"/>
              </w:rPr>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b/>
                <w:bCs/>
                <w:color w:val="000000"/>
                <w:lang w:eastAsia="en-GB"/>
              </w:rPr>
            </w:pPr>
            <w:r w:rsidRPr="000A470B">
              <w:rPr>
                <w:rFonts w:cs="Arial"/>
                <w:b/>
                <w:bCs/>
                <w:color w:val="000000"/>
                <w:lang w:eastAsia="en-GB"/>
              </w:rPr>
              <w:t>Q3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b/>
                <w:bCs/>
                <w:color w:val="000000"/>
                <w:lang w:eastAsia="en-GB"/>
              </w:rPr>
            </w:pPr>
            <w:r w:rsidRPr="000A470B">
              <w:rPr>
                <w:rFonts w:cs="Arial"/>
                <w:b/>
                <w:bCs/>
                <w:color w:val="000000"/>
                <w:lang w:eastAsia="en-GB"/>
              </w:rPr>
              <w:t>Q4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b/>
                <w:bCs/>
                <w:color w:val="000000"/>
                <w:lang w:eastAsia="en-GB"/>
              </w:rPr>
            </w:pPr>
            <w:r w:rsidRPr="000A470B">
              <w:rPr>
                <w:rFonts w:cs="Arial"/>
                <w:b/>
                <w:bCs/>
                <w:color w:val="000000"/>
                <w:lang w:eastAsia="en-GB"/>
              </w:rPr>
              <w:t>Q1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b/>
                <w:bCs/>
                <w:color w:val="000000"/>
                <w:lang w:eastAsia="en-GB"/>
              </w:rPr>
            </w:pPr>
            <w:r w:rsidRPr="000A470B">
              <w:rPr>
                <w:rFonts w:cs="Arial"/>
                <w:b/>
                <w:bCs/>
                <w:color w:val="000000"/>
                <w:lang w:eastAsia="en-GB"/>
              </w:rPr>
              <w:t>Q2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0A470B" w:rsidRPr="000A470B" w:rsidRDefault="000A470B" w:rsidP="000A470B">
            <w:pPr>
              <w:jc w:val="right"/>
              <w:rPr>
                <w:rFonts w:cs="Arial"/>
                <w:b/>
                <w:bCs/>
                <w:color w:val="000000"/>
                <w:lang w:eastAsia="en-GB"/>
              </w:rPr>
            </w:pPr>
            <w:r w:rsidRPr="000A470B">
              <w:rPr>
                <w:rFonts w:cs="Arial"/>
                <w:b/>
                <w:bCs/>
                <w:color w:val="000000"/>
                <w:lang w:eastAsia="en-GB"/>
              </w:rPr>
              <w:t>Q3 2015/16</w:t>
            </w:r>
          </w:p>
        </w:tc>
      </w:tr>
      <w:tr w:rsidR="000A470B" w:rsidRPr="000A470B" w:rsidTr="000A470B">
        <w:trPr>
          <w:trHeight w:val="315"/>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rsidR="000A470B" w:rsidRPr="000A470B" w:rsidRDefault="000A470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0A470B" w:rsidRPr="000A470B" w:rsidRDefault="000A470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0A470B" w:rsidRPr="000A470B" w:rsidRDefault="000A470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0A470B" w:rsidRPr="000A470B" w:rsidRDefault="000A470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0A470B" w:rsidRPr="000A470B" w:rsidRDefault="000A470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0A470B" w:rsidRPr="000A470B" w:rsidRDefault="000A470B" w:rsidP="000A470B">
            <w:pPr>
              <w:rPr>
                <w:rFonts w:cs="Arial"/>
                <w:b/>
                <w:bCs/>
                <w:color w:val="000000"/>
                <w:lang w:eastAsia="en-GB"/>
              </w:rPr>
            </w:pPr>
          </w:p>
        </w:tc>
      </w:tr>
      <w:tr w:rsidR="000A470B" w:rsidRPr="000A470B" w:rsidTr="000A470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0A470B" w:rsidRPr="000A470B" w:rsidRDefault="000A470B" w:rsidP="000A470B">
            <w:pPr>
              <w:rPr>
                <w:rFonts w:cs="Arial"/>
                <w:color w:val="000000"/>
                <w:lang w:eastAsia="en-GB"/>
              </w:rPr>
            </w:pPr>
            <w:r w:rsidRPr="000A470B">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1</w:t>
            </w:r>
          </w:p>
        </w:tc>
        <w:tc>
          <w:tcPr>
            <w:tcW w:w="1120" w:type="dxa"/>
            <w:tcBorders>
              <w:top w:val="nil"/>
              <w:left w:val="nil"/>
              <w:bottom w:val="single" w:sz="8" w:space="0" w:color="000000"/>
              <w:right w:val="single" w:sz="8" w:space="0" w:color="000000"/>
            </w:tcBorders>
            <w:shd w:val="clear" w:color="000000" w:fill="D9D9D9"/>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1</w:t>
            </w:r>
          </w:p>
        </w:tc>
      </w:tr>
      <w:tr w:rsidR="000A470B" w:rsidRPr="000A470B" w:rsidTr="000A470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0A470B" w:rsidRPr="000A470B" w:rsidRDefault="000A470B" w:rsidP="000A470B">
            <w:pPr>
              <w:rPr>
                <w:rFonts w:cs="Arial"/>
                <w:color w:val="000000"/>
                <w:lang w:eastAsia="en-GB"/>
              </w:rPr>
            </w:pPr>
            <w:r w:rsidRPr="000A470B">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6</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5</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4</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3</w:t>
            </w:r>
          </w:p>
        </w:tc>
        <w:tc>
          <w:tcPr>
            <w:tcW w:w="1120" w:type="dxa"/>
            <w:tcBorders>
              <w:top w:val="nil"/>
              <w:left w:val="nil"/>
              <w:bottom w:val="single" w:sz="8" w:space="0" w:color="000000"/>
              <w:right w:val="single" w:sz="8" w:space="0" w:color="000000"/>
            </w:tcBorders>
            <w:shd w:val="clear" w:color="000000" w:fill="D9D9D9"/>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4</w:t>
            </w:r>
          </w:p>
        </w:tc>
      </w:tr>
      <w:tr w:rsidR="000A470B" w:rsidRPr="000A470B" w:rsidTr="000A470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0A470B" w:rsidRPr="000A470B" w:rsidRDefault="000A470B" w:rsidP="000A470B">
            <w:pPr>
              <w:rPr>
                <w:rFonts w:cs="Arial"/>
                <w:color w:val="000000"/>
                <w:lang w:eastAsia="en-GB"/>
              </w:rPr>
            </w:pPr>
            <w:r w:rsidRPr="000A470B">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5</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6</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2</w:t>
            </w:r>
          </w:p>
        </w:tc>
      </w:tr>
      <w:tr w:rsidR="000A470B" w:rsidRPr="000A470B" w:rsidTr="000A470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0A470B" w:rsidRPr="000A470B" w:rsidRDefault="000A470B" w:rsidP="000A470B">
            <w:pPr>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000000" w:fill="D9D9D9"/>
            <w:vAlign w:val="center"/>
            <w:hideMark/>
          </w:tcPr>
          <w:p w:rsidR="000A470B" w:rsidRPr="000A470B" w:rsidRDefault="000A470B" w:rsidP="000A470B">
            <w:pPr>
              <w:jc w:val="right"/>
              <w:rPr>
                <w:rFonts w:cs="Arial"/>
                <w:color w:val="000000"/>
                <w:lang w:eastAsia="en-GB"/>
              </w:rPr>
            </w:pPr>
            <w:r w:rsidRPr="000A470B">
              <w:rPr>
                <w:rFonts w:cs="Arial"/>
                <w:color w:val="000000"/>
                <w:lang w:eastAsia="en-GB"/>
              </w:rPr>
              <w:t> </w:t>
            </w:r>
          </w:p>
        </w:tc>
      </w:tr>
      <w:tr w:rsidR="000A470B" w:rsidRPr="000A470B" w:rsidTr="000A470B">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0A470B" w:rsidRPr="000A470B" w:rsidRDefault="000A470B" w:rsidP="000A470B">
            <w:pPr>
              <w:rPr>
                <w:rFonts w:cs="Arial"/>
                <w:b/>
                <w:bCs/>
                <w:color w:val="000000"/>
                <w:lang w:eastAsia="en-GB"/>
              </w:rPr>
            </w:pPr>
            <w:r w:rsidRPr="000A470B">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0A470B" w:rsidRPr="000A470B" w:rsidRDefault="000A470B" w:rsidP="000A470B">
            <w:pPr>
              <w:jc w:val="right"/>
              <w:rPr>
                <w:rFonts w:cs="Arial"/>
                <w:b/>
                <w:bCs/>
                <w:color w:val="000000"/>
                <w:lang w:eastAsia="en-GB"/>
              </w:rPr>
            </w:pPr>
            <w:r w:rsidRPr="000A470B">
              <w:rPr>
                <w:rFonts w:cs="Arial"/>
                <w:b/>
                <w:bCs/>
                <w:color w:val="000000"/>
                <w:lang w:eastAsia="en-GB"/>
              </w:rPr>
              <w:t>11</w:t>
            </w:r>
          </w:p>
        </w:tc>
        <w:tc>
          <w:tcPr>
            <w:tcW w:w="1120" w:type="dxa"/>
            <w:tcBorders>
              <w:top w:val="nil"/>
              <w:left w:val="nil"/>
              <w:bottom w:val="single" w:sz="8" w:space="0" w:color="000000"/>
              <w:right w:val="single" w:sz="8" w:space="0" w:color="000000"/>
            </w:tcBorders>
            <w:shd w:val="clear" w:color="000000" w:fill="D9D9D9"/>
            <w:vAlign w:val="center"/>
            <w:hideMark/>
          </w:tcPr>
          <w:p w:rsidR="000A470B" w:rsidRPr="000A470B" w:rsidRDefault="000A470B" w:rsidP="000A470B">
            <w:pPr>
              <w:jc w:val="right"/>
              <w:rPr>
                <w:rFonts w:cs="Arial"/>
                <w:b/>
                <w:bCs/>
                <w:color w:val="000000"/>
                <w:lang w:eastAsia="en-GB"/>
              </w:rPr>
            </w:pPr>
            <w:r w:rsidRPr="000A470B">
              <w:rPr>
                <w:rFonts w:cs="Arial"/>
                <w:b/>
                <w:bCs/>
                <w:color w:val="000000"/>
                <w:lang w:eastAsia="en-GB"/>
              </w:rPr>
              <w:t>11</w:t>
            </w:r>
          </w:p>
        </w:tc>
        <w:tc>
          <w:tcPr>
            <w:tcW w:w="1120" w:type="dxa"/>
            <w:tcBorders>
              <w:top w:val="nil"/>
              <w:left w:val="nil"/>
              <w:bottom w:val="single" w:sz="8" w:space="0" w:color="000000"/>
              <w:right w:val="single" w:sz="8" w:space="0" w:color="000000"/>
            </w:tcBorders>
            <w:shd w:val="clear" w:color="000000" w:fill="D9D9D9"/>
            <w:vAlign w:val="center"/>
            <w:hideMark/>
          </w:tcPr>
          <w:p w:rsidR="000A470B" w:rsidRPr="000A470B" w:rsidRDefault="000A470B" w:rsidP="000A470B">
            <w:pPr>
              <w:jc w:val="right"/>
              <w:rPr>
                <w:rFonts w:cs="Arial"/>
                <w:b/>
                <w:bCs/>
                <w:color w:val="000000"/>
                <w:lang w:eastAsia="en-GB"/>
              </w:rPr>
            </w:pPr>
            <w:r w:rsidRPr="000A470B">
              <w:rPr>
                <w:rFonts w:cs="Arial"/>
                <w:b/>
                <w:bCs/>
                <w:color w:val="000000"/>
                <w:lang w:eastAsia="en-GB"/>
              </w:rPr>
              <w:t>11</w:t>
            </w:r>
          </w:p>
        </w:tc>
        <w:tc>
          <w:tcPr>
            <w:tcW w:w="1120" w:type="dxa"/>
            <w:tcBorders>
              <w:top w:val="nil"/>
              <w:left w:val="nil"/>
              <w:bottom w:val="single" w:sz="8" w:space="0" w:color="000000"/>
              <w:right w:val="single" w:sz="8" w:space="0" w:color="000000"/>
            </w:tcBorders>
            <w:shd w:val="clear" w:color="000000" w:fill="D9D9D9"/>
            <w:vAlign w:val="center"/>
            <w:hideMark/>
          </w:tcPr>
          <w:p w:rsidR="000A470B" w:rsidRPr="000A470B" w:rsidRDefault="000A470B" w:rsidP="000A470B">
            <w:pPr>
              <w:jc w:val="right"/>
              <w:rPr>
                <w:rFonts w:cs="Arial"/>
                <w:b/>
                <w:bCs/>
                <w:color w:val="000000"/>
                <w:lang w:eastAsia="en-GB"/>
              </w:rPr>
            </w:pPr>
            <w:r w:rsidRPr="000A470B">
              <w:rPr>
                <w:rFonts w:cs="Arial"/>
                <w:b/>
                <w:bCs/>
                <w:color w:val="000000"/>
                <w:lang w:eastAsia="en-GB"/>
              </w:rPr>
              <w:t>6</w:t>
            </w:r>
          </w:p>
        </w:tc>
        <w:tc>
          <w:tcPr>
            <w:tcW w:w="1120" w:type="dxa"/>
            <w:tcBorders>
              <w:top w:val="nil"/>
              <w:left w:val="nil"/>
              <w:bottom w:val="single" w:sz="8" w:space="0" w:color="000000"/>
              <w:right w:val="single" w:sz="8" w:space="0" w:color="000000"/>
            </w:tcBorders>
            <w:shd w:val="clear" w:color="000000" w:fill="D9D9D9"/>
            <w:vAlign w:val="center"/>
            <w:hideMark/>
          </w:tcPr>
          <w:p w:rsidR="000A470B" w:rsidRPr="000A470B" w:rsidRDefault="000A470B" w:rsidP="000A470B">
            <w:pPr>
              <w:jc w:val="right"/>
              <w:rPr>
                <w:rFonts w:cs="Arial"/>
                <w:b/>
                <w:bCs/>
                <w:color w:val="000000"/>
                <w:lang w:eastAsia="en-GB"/>
              </w:rPr>
            </w:pPr>
            <w:r w:rsidRPr="000A470B">
              <w:rPr>
                <w:rFonts w:cs="Arial"/>
                <w:b/>
                <w:bCs/>
                <w:color w:val="000000"/>
                <w:lang w:eastAsia="en-GB"/>
              </w:rPr>
              <w:t>7</w:t>
            </w:r>
          </w:p>
        </w:tc>
      </w:tr>
    </w:tbl>
    <w:p w:rsidR="000A470B" w:rsidRDefault="000A470B" w:rsidP="000116FF">
      <w:pPr>
        <w:ind w:left="426"/>
        <w:rPr>
          <w:rFonts w:cs="Arial"/>
        </w:rPr>
      </w:pPr>
    </w:p>
    <w:p w:rsidR="00D3115F" w:rsidRDefault="00D3115F" w:rsidP="00A32A7B">
      <w:pPr>
        <w:numPr>
          <w:ilvl w:val="0"/>
          <w:numId w:val="1"/>
        </w:numPr>
        <w:ind w:left="426" w:hanging="426"/>
        <w:rPr>
          <w:rFonts w:cs="Arial"/>
        </w:rPr>
      </w:pPr>
      <w:r>
        <w:rPr>
          <w:rFonts w:cs="Arial"/>
        </w:rPr>
        <w:t xml:space="preserve">There </w:t>
      </w:r>
      <w:r w:rsidR="005D6DCA">
        <w:rPr>
          <w:rFonts w:cs="Arial"/>
        </w:rPr>
        <w:t>w</w:t>
      </w:r>
      <w:r>
        <w:rPr>
          <w:rFonts w:cs="Arial"/>
        </w:rPr>
        <w:t xml:space="preserve">as a full desktop review of all of the corporate risks undertaken by Directors and Heads of Service </w:t>
      </w:r>
      <w:r w:rsidR="005D6DCA">
        <w:rPr>
          <w:rFonts w:cs="Arial"/>
        </w:rPr>
        <w:t xml:space="preserve">at the beginning of the year </w:t>
      </w:r>
      <w:r>
        <w:rPr>
          <w:rFonts w:cs="Arial"/>
        </w:rPr>
        <w:t xml:space="preserve">which resulted in </w:t>
      </w:r>
      <w:r w:rsidR="00AC6D86">
        <w:rPr>
          <w:rFonts w:cs="Arial"/>
        </w:rPr>
        <w:t>the number of risks reducing from 11 to 6</w:t>
      </w:r>
      <w:r>
        <w:rPr>
          <w:rFonts w:cs="Arial"/>
        </w:rPr>
        <w:t>.</w:t>
      </w:r>
    </w:p>
    <w:p w:rsidR="00D3115F" w:rsidRDefault="00D3115F" w:rsidP="00D3115F">
      <w:pPr>
        <w:ind w:left="426"/>
        <w:rPr>
          <w:rFonts w:cs="Arial"/>
        </w:rPr>
      </w:pPr>
    </w:p>
    <w:p w:rsidR="000C7E80" w:rsidRDefault="000C7E80" w:rsidP="00A32A7B">
      <w:pPr>
        <w:numPr>
          <w:ilvl w:val="0"/>
          <w:numId w:val="1"/>
        </w:numPr>
        <w:ind w:left="426" w:hanging="426"/>
        <w:rPr>
          <w:rFonts w:cs="Arial"/>
        </w:rPr>
      </w:pPr>
      <w:r>
        <w:rPr>
          <w:rFonts w:cs="Arial"/>
        </w:rPr>
        <w:t xml:space="preserve">In the short term, to help mitigate the pressure </w:t>
      </w:r>
      <w:r w:rsidR="009F6D40">
        <w:rPr>
          <w:rFonts w:cs="Arial"/>
        </w:rPr>
        <w:t xml:space="preserve">on the Housing Revenue Account Business Plan </w:t>
      </w:r>
      <w:r>
        <w:rPr>
          <w:rFonts w:cs="Arial"/>
        </w:rPr>
        <w:t>and enable all options to be considered</w:t>
      </w:r>
      <w:r w:rsidR="009A2E92">
        <w:rPr>
          <w:rFonts w:cs="Arial"/>
        </w:rPr>
        <w:t xml:space="preserve"> </w:t>
      </w:r>
      <w:r>
        <w:rPr>
          <w:rFonts w:cs="Arial"/>
        </w:rPr>
        <w:t xml:space="preserve">a temporary moratorium </w:t>
      </w:r>
      <w:r w:rsidR="000A470B">
        <w:rPr>
          <w:rFonts w:cs="Arial"/>
        </w:rPr>
        <w:t>was</w:t>
      </w:r>
      <w:r>
        <w:rPr>
          <w:rFonts w:cs="Arial"/>
        </w:rPr>
        <w:t xml:space="preserve"> imposed on all non-essential </w:t>
      </w:r>
      <w:r w:rsidR="009F6D40">
        <w:rPr>
          <w:rFonts w:cs="Arial"/>
        </w:rPr>
        <w:t xml:space="preserve">Capital </w:t>
      </w:r>
      <w:r w:rsidR="001312CC">
        <w:rPr>
          <w:rFonts w:cs="Arial"/>
        </w:rPr>
        <w:t>projects</w:t>
      </w:r>
      <w:r>
        <w:rPr>
          <w:rFonts w:cs="Arial"/>
        </w:rPr>
        <w:t xml:space="preserve"> that </w:t>
      </w:r>
      <w:r w:rsidR="009F6D40">
        <w:rPr>
          <w:rFonts w:cs="Arial"/>
        </w:rPr>
        <w:t>were</w:t>
      </w:r>
      <w:r>
        <w:rPr>
          <w:rFonts w:cs="Arial"/>
        </w:rPr>
        <w:t xml:space="preserve"> not already contractually committed.  This </w:t>
      </w:r>
      <w:r w:rsidR="000A470B">
        <w:rPr>
          <w:rFonts w:cs="Arial"/>
        </w:rPr>
        <w:t xml:space="preserve">moratorium has now been lifted </w:t>
      </w:r>
      <w:r w:rsidR="009A2E92">
        <w:rPr>
          <w:rFonts w:cs="Arial"/>
        </w:rPr>
        <w:t xml:space="preserve">and schemes reprioritised as part of the 2016 – 2020 </w:t>
      </w:r>
      <w:r w:rsidR="00C8067E">
        <w:rPr>
          <w:rFonts w:cs="Arial"/>
        </w:rPr>
        <w:t>Medium Term Financial Planning</w:t>
      </w:r>
      <w:r w:rsidR="005510D8">
        <w:rPr>
          <w:rFonts w:cs="Arial"/>
        </w:rPr>
        <w:t xml:space="preserve"> process.</w:t>
      </w:r>
    </w:p>
    <w:p w:rsidR="007D13DA" w:rsidRDefault="007D13DA" w:rsidP="00AC6D86">
      <w:pPr>
        <w:pStyle w:val="ListParagraph"/>
        <w:rPr>
          <w:rFonts w:cs="Arial"/>
        </w:rPr>
      </w:pPr>
    </w:p>
    <w:p w:rsidR="00966BBE" w:rsidRPr="00A32A7B" w:rsidRDefault="0078409C" w:rsidP="00966BBE">
      <w:pPr>
        <w:rPr>
          <w:rFonts w:cs="Arial"/>
          <w:b/>
        </w:rPr>
      </w:pPr>
      <w:r w:rsidRPr="0078409C">
        <w:rPr>
          <w:rFonts w:cs="Arial"/>
          <w:b/>
        </w:rPr>
        <w:t xml:space="preserve">Quarter </w:t>
      </w:r>
      <w:r w:rsidR="005510D8">
        <w:rPr>
          <w:rFonts w:cs="Arial"/>
          <w:b/>
        </w:rPr>
        <w:t>3</w:t>
      </w:r>
      <w:r w:rsidRPr="0078409C">
        <w:rPr>
          <w:rFonts w:cs="Arial"/>
          <w:b/>
        </w:rPr>
        <w:t xml:space="preserve"> Service Risk Register</w:t>
      </w:r>
      <w:r w:rsidR="005D6DCA">
        <w:rPr>
          <w:rFonts w:cs="Arial"/>
          <w:b/>
        </w:rPr>
        <w:t>s</w:t>
      </w:r>
    </w:p>
    <w:p w:rsidR="00966BBE" w:rsidRPr="00A32A7B" w:rsidRDefault="00966BBE" w:rsidP="00966BBE">
      <w:pPr>
        <w:rPr>
          <w:rFonts w:cs="Arial"/>
        </w:rPr>
      </w:pPr>
    </w:p>
    <w:p w:rsidR="006D7D0D" w:rsidRDefault="006D7D0D" w:rsidP="00A32A7B">
      <w:pPr>
        <w:numPr>
          <w:ilvl w:val="0"/>
          <w:numId w:val="1"/>
        </w:numPr>
        <w:ind w:left="426" w:hanging="426"/>
        <w:rPr>
          <w:rFonts w:cs="Arial"/>
        </w:rPr>
      </w:pPr>
      <w:r>
        <w:rPr>
          <w:rFonts w:cs="Arial"/>
        </w:rPr>
        <w:t xml:space="preserve">Each year as part of the service planning process, all service risks are reviewed, those no longer relevant are deleted, and any new ones are added.  In </w:t>
      </w:r>
      <w:r w:rsidR="005578C1">
        <w:rPr>
          <w:rFonts w:cs="Arial"/>
        </w:rPr>
        <w:t>quarter 1 of</w:t>
      </w:r>
      <w:r>
        <w:rPr>
          <w:rFonts w:cs="Arial"/>
        </w:rPr>
        <w:t xml:space="preserve"> 2015/16, the management of Council services was restructure</w:t>
      </w:r>
      <w:r w:rsidR="00DD2A1D">
        <w:rPr>
          <w:rFonts w:cs="Arial"/>
        </w:rPr>
        <w:t>d</w:t>
      </w:r>
      <w:r>
        <w:rPr>
          <w:rFonts w:cs="Arial"/>
        </w:rPr>
        <w:t xml:space="preserve"> and risks </w:t>
      </w:r>
      <w:r w:rsidR="005510D8">
        <w:rPr>
          <w:rFonts w:cs="Arial"/>
        </w:rPr>
        <w:t>were</w:t>
      </w:r>
      <w:r>
        <w:rPr>
          <w:rFonts w:cs="Arial"/>
        </w:rPr>
        <w:t xml:space="preserve"> </w:t>
      </w:r>
      <w:r w:rsidR="00C8067E">
        <w:rPr>
          <w:rFonts w:cs="Arial"/>
        </w:rPr>
        <w:t xml:space="preserve">subsequently </w:t>
      </w:r>
      <w:r>
        <w:rPr>
          <w:rFonts w:cs="Arial"/>
        </w:rPr>
        <w:t xml:space="preserve">moved between services areas </w:t>
      </w:r>
      <w:r w:rsidR="00993A4E">
        <w:rPr>
          <w:rFonts w:cs="Arial"/>
        </w:rPr>
        <w:t>and reassessed</w:t>
      </w:r>
      <w:r>
        <w:rPr>
          <w:rFonts w:cs="Arial"/>
        </w:rPr>
        <w:t xml:space="preserve">.  These refreshed </w:t>
      </w:r>
      <w:r w:rsidR="00DD2A1D">
        <w:rPr>
          <w:rFonts w:cs="Arial"/>
        </w:rPr>
        <w:t>S</w:t>
      </w:r>
      <w:r>
        <w:rPr>
          <w:rFonts w:cs="Arial"/>
        </w:rPr>
        <w:t xml:space="preserve">ervice </w:t>
      </w:r>
      <w:r w:rsidR="00DD2A1D">
        <w:rPr>
          <w:rFonts w:cs="Arial"/>
        </w:rPr>
        <w:t>R</w:t>
      </w:r>
      <w:r>
        <w:rPr>
          <w:rFonts w:cs="Arial"/>
        </w:rPr>
        <w:t xml:space="preserve">isk </w:t>
      </w:r>
      <w:r w:rsidR="00DD2A1D">
        <w:rPr>
          <w:rFonts w:cs="Arial"/>
        </w:rPr>
        <w:t>R</w:t>
      </w:r>
      <w:r>
        <w:rPr>
          <w:rFonts w:cs="Arial"/>
        </w:rPr>
        <w:t xml:space="preserve">egisters </w:t>
      </w:r>
      <w:r w:rsidR="005510D8">
        <w:rPr>
          <w:rFonts w:cs="Arial"/>
        </w:rPr>
        <w:t>are</w:t>
      </w:r>
      <w:r w:rsidR="005578C1">
        <w:rPr>
          <w:rFonts w:cs="Arial"/>
        </w:rPr>
        <w:t xml:space="preserve"> be</w:t>
      </w:r>
      <w:r w:rsidR="005510D8">
        <w:rPr>
          <w:rFonts w:cs="Arial"/>
        </w:rPr>
        <w:t>ing</w:t>
      </w:r>
      <w:r>
        <w:rPr>
          <w:rFonts w:cs="Arial"/>
        </w:rPr>
        <w:t xml:space="preserve"> used for monitoring purposes </w:t>
      </w:r>
      <w:r w:rsidR="005578C1">
        <w:rPr>
          <w:rFonts w:cs="Arial"/>
        </w:rPr>
        <w:t>for the remainder of</w:t>
      </w:r>
      <w:r>
        <w:rPr>
          <w:rFonts w:cs="Arial"/>
        </w:rPr>
        <w:t xml:space="preserve"> the year.</w:t>
      </w:r>
    </w:p>
    <w:p w:rsidR="006D7D0D" w:rsidRDefault="006D7D0D" w:rsidP="006D7D0D">
      <w:pPr>
        <w:ind w:left="426"/>
        <w:rPr>
          <w:rFonts w:cs="Arial"/>
        </w:rPr>
      </w:pPr>
    </w:p>
    <w:p w:rsidR="00966BBE" w:rsidRPr="007F6E5E" w:rsidRDefault="0078409C" w:rsidP="00A32A7B">
      <w:pPr>
        <w:numPr>
          <w:ilvl w:val="0"/>
          <w:numId w:val="1"/>
        </w:numPr>
        <w:ind w:left="426" w:hanging="426"/>
        <w:rPr>
          <w:rFonts w:cs="Arial"/>
        </w:rPr>
      </w:pPr>
      <w:r w:rsidRPr="0078409C">
        <w:rPr>
          <w:rFonts w:cs="Arial"/>
        </w:rPr>
        <w:t xml:space="preserve">The table below shows the number of </w:t>
      </w:r>
      <w:r w:rsidR="005578C1">
        <w:rPr>
          <w:rFonts w:cs="Arial"/>
        </w:rPr>
        <w:t xml:space="preserve">service </w:t>
      </w:r>
      <w:r w:rsidRPr="0078409C">
        <w:rPr>
          <w:rFonts w:cs="Arial"/>
        </w:rPr>
        <w:t xml:space="preserve">risks </w:t>
      </w:r>
      <w:r w:rsidR="005578C1">
        <w:rPr>
          <w:rFonts w:cs="Arial"/>
        </w:rPr>
        <w:t>in</w:t>
      </w:r>
      <w:r w:rsidRPr="0078409C">
        <w:rPr>
          <w:rFonts w:cs="Arial"/>
        </w:rPr>
        <w:t xml:space="preserve"> Q</w:t>
      </w:r>
      <w:r w:rsidR="005510D8">
        <w:rPr>
          <w:rFonts w:cs="Arial"/>
        </w:rPr>
        <w:t>3</w:t>
      </w:r>
      <w:r w:rsidRPr="0078409C">
        <w:rPr>
          <w:rFonts w:cs="Arial"/>
        </w:rPr>
        <w:t xml:space="preserve"> 201</w:t>
      </w:r>
      <w:r>
        <w:rPr>
          <w:rFonts w:cs="Arial"/>
        </w:rPr>
        <w:t>5</w:t>
      </w:r>
      <w:r w:rsidRPr="0078409C">
        <w:rPr>
          <w:rFonts w:cs="Arial"/>
        </w:rPr>
        <w:t>/1</w:t>
      </w:r>
      <w:r>
        <w:rPr>
          <w:rFonts w:cs="Arial"/>
        </w:rPr>
        <w:t>6</w:t>
      </w:r>
      <w:r w:rsidRPr="0078409C">
        <w:rPr>
          <w:rFonts w:cs="Arial"/>
        </w:rPr>
        <w:t xml:space="preserve"> </w:t>
      </w:r>
      <w:r w:rsidRPr="007F6E5E">
        <w:rPr>
          <w:rFonts w:cs="Arial"/>
        </w:rPr>
        <w:t xml:space="preserve">compared with the last 15 months. </w:t>
      </w:r>
      <w:r w:rsidR="00621B9B">
        <w:rPr>
          <w:rFonts w:cs="Arial"/>
        </w:rPr>
        <w:t>Six</w:t>
      </w:r>
      <w:r w:rsidR="00621B9B" w:rsidRPr="007F6E5E">
        <w:rPr>
          <w:rFonts w:cs="Arial"/>
        </w:rPr>
        <w:t xml:space="preserve"> </w:t>
      </w:r>
      <w:r w:rsidRPr="007F6E5E">
        <w:rPr>
          <w:rFonts w:cs="Arial"/>
        </w:rPr>
        <w:t>risks have been closed since the last quarter</w:t>
      </w:r>
      <w:r w:rsidR="00D3115F" w:rsidRPr="007F6E5E">
        <w:rPr>
          <w:rFonts w:cs="Arial"/>
        </w:rPr>
        <w:t xml:space="preserve"> and there </w:t>
      </w:r>
      <w:r w:rsidR="00993A4E" w:rsidRPr="007F6E5E">
        <w:rPr>
          <w:rFonts w:cs="Arial"/>
        </w:rPr>
        <w:t>are</w:t>
      </w:r>
      <w:r w:rsidR="002E7B2E" w:rsidRPr="007F6E5E">
        <w:rPr>
          <w:rFonts w:cs="Arial"/>
        </w:rPr>
        <w:t xml:space="preserve"> </w:t>
      </w:r>
      <w:r w:rsidR="00621B9B">
        <w:rPr>
          <w:rFonts w:cs="Arial"/>
        </w:rPr>
        <w:t>three</w:t>
      </w:r>
      <w:r w:rsidR="00621B9B" w:rsidRPr="007F6E5E">
        <w:rPr>
          <w:rFonts w:cs="Arial"/>
        </w:rPr>
        <w:t xml:space="preserve"> </w:t>
      </w:r>
      <w:r w:rsidR="00D3115F" w:rsidRPr="007F6E5E">
        <w:rPr>
          <w:rFonts w:cs="Arial"/>
        </w:rPr>
        <w:t>new risks</w:t>
      </w:r>
      <w:r w:rsidRPr="007F6E5E">
        <w:rPr>
          <w:rFonts w:cs="Arial"/>
        </w:rPr>
        <w:t>.</w:t>
      </w:r>
    </w:p>
    <w:p w:rsidR="000C7E80" w:rsidRDefault="000C7E80" w:rsidP="000C7E80">
      <w:pPr>
        <w:pStyle w:val="ListParagraph"/>
        <w:rPr>
          <w:rFonts w:cs="Arial"/>
        </w:rPr>
      </w:pPr>
    </w:p>
    <w:tbl>
      <w:tblPr>
        <w:tblW w:w="7780" w:type="dxa"/>
        <w:tblInd w:w="720" w:type="dxa"/>
        <w:tblLook w:val="04A0" w:firstRow="1" w:lastRow="0" w:firstColumn="1" w:lastColumn="0" w:noHBand="0" w:noVBand="1"/>
      </w:tblPr>
      <w:tblGrid>
        <w:gridCol w:w="2180"/>
        <w:gridCol w:w="1120"/>
        <w:gridCol w:w="1120"/>
        <w:gridCol w:w="1120"/>
        <w:gridCol w:w="1120"/>
        <w:gridCol w:w="1120"/>
      </w:tblGrid>
      <w:tr w:rsidR="005B360C" w:rsidRPr="005B360C" w:rsidTr="005B360C">
        <w:trPr>
          <w:trHeight w:val="315"/>
        </w:trPr>
        <w:tc>
          <w:tcPr>
            <w:tcW w:w="21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B360C" w:rsidRPr="005B360C" w:rsidRDefault="005B360C" w:rsidP="005B360C">
            <w:pPr>
              <w:rPr>
                <w:rFonts w:cs="Arial"/>
                <w:b/>
                <w:bCs/>
                <w:color w:val="000000"/>
                <w:lang w:eastAsia="en-GB"/>
              </w:rPr>
            </w:pPr>
            <w:r w:rsidRPr="005B360C">
              <w:rPr>
                <w:rFonts w:cs="Arial"/>
                <w:b/>
                <w:bCs/>
                <w:color w:val="000000"/>
                <w:lang w:eastAsia="en-GB"/>
              </w:rPr>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b/>
                <w:bCs/>
                <w:color w:val="000000"/>
                <w:lang w:eastAsia="en-GB"/>
              </w:rPr>
            </w:pPr>
            <w:r w:rsidRPr="005B360C">
              <w:rPr>
                <w:rFonts w:cs="Arial"/>
                <w:b/>
                <w:bCs/>
                <w:color w:val="000000"/>
                <w:lang w:eastAsia="en-GB"/>
              </w:rPr>
              <w:t>Q3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b/>
                <w:bCs/>
                <w:color w:val="000000"/>
                <w:lang w:eastAsia="en-GB"/>
              </w:rPr>
            </w:pPr>
            <w:r w:rsidRPr="005B360C">
              <w:rPr>
                <w:rFonts w:cs="Arial"/>
                <w:b/>
                <w:bCs/>
                <w:color w:val="000000"/>
                <w:lang w:eastAsia="en-GB"/>
              </w:rPr>
              <w:t>Q4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b/>
                <w:bCs/>
                <w:color w:val="000000"/>
                <w:lang w:eastAsia="en-GB"/>
              </w:rPr>
            </w:pPr>
            <w:r w:rsidRPr="005B360C">
              <w:rPr>
                <w:rFonts w:cs="Arial"/>
                <w:b/>
                <w:bCs/>
                <w:color w:val="000000"/>
                <w:lang w:eastAsia="en-GB"/>
              </w:rPr>
              <w:t>Q1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b/>
                <w:bCs/>
                <w:color w:val="000000"/>
                <w:lang w:eastAsia="en-GB"/>
              </w:rPr>
            </w:pPr>
            <w:r w:rsidRPr="005B360C">
              <w:rPr>
                <w:rFonts w:cs="Arial"/>
                <w:b/>
                <w:bCs/>
                <w:color w:val="000000"/>
                <w:lang w:eastAsia="en-GB"/>
              </w:rPr>
              <w:t>Q2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5B360C" w:rsidRPr="005B360C" w:rsidRDefault="005B360C" w:rsidP="005B360C">
            <w:pPr>
              <w:jc w:val="right"/>
              <w:rPr>
                <w:rFonts w:cs="Arial"/>
                <w:b/>
                <w:bCs/>
                <w:color w:val="000000"/>
                <w:lang w:eastAsia="en-GB"/>
              </w:rPr>
            </w:pPr>
            <w:r w:rsidRPr="005B360C">
              <w:rPr>
                <w:rFonts w:cs="Arial"/>
                <w:b/>
                <w:bCs/>
                <w:color w:val="000000"/>
                <w:lang w:eastAsia="en-GB"/>
              </w:rPr>
              <w:t>Q3 2015/16</w:t>
            </w:r>
          </w:p>
        </w:tc>
      </w:tr>
      <w:tr w:rsidR="005B360C" w:rsidRPr="005B360C" w:rsidTr="005B360C">
        <w:trPr>
          <w:trHeight w:val="315"/>
        </w:trPr>
        <w:tc>
          <w:tcPr>
            <w:tcW w:w="2180" w:type="dxa"/>
            <w:vMerge/>
            <w:tcBorders>
              <w:top w:val="single" w:sz="8" w:space="0" w:color="000000"/>
              <w:left w:val="single" w:sz="8" w:space="0" w:color="000000"/>
              <w:bottom w:val="single" w:sz="8" w:space="0" w:color="000000"/>
              <w:right w:val="single" w:sz="8" w:space="0" w:color="000000"/>
            </w:tcBorders>
            <w:vAlign w:val="center"/>
            <w:hideMark/>
          </w:tcPr>
          <w:p w:rsidR="005B360C" w:rsidRPr="005B360C" w:rsidRDefault="005B360C"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5B360C" w:rsidRPr="005B360C" w:rsidRDefault="005B360C"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5B360C" w:rsidRPr="005B360C" w:rsidRDefault="005B360C"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5B360C" w:rsidRPr="005B360C" w:rsidRDefault="005B360C"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5B360C" w:rsidRPr="005B360C" w:rsidRDefault="005B360C"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5B360C" w:rsidRPr="005B360C" w:rsidRDefault="005B360C" w:rsidP="005B360C">
            <w:pPr>
              <w:rPr>
                <w:rFonts w:cs="Arial"/>
                <w:b/>
                <w:bCs/>
                <w:color w:val="000000"/>
                <w:lang w:eastAsia="en-GB"/>
              </w:rPr>
            </w:pPr>
          </w:p>
        </w:tc>
      </w:tr>
      <w:tr w:rsidR="005B360C" w:rsidRPr="005B360C" w:rsidTr="005B360C">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5B360C" w:rsidRPr="005B360C" w:rsidRDefault="005B360C" w:rsidP="005B360C">
            <w:pPr>
              <w:rPr>
                <w:rFonts w:cs="Arial"/>
                <w:color w:val="000000"/>
                <w:lang w:eastAsia="en-GB"/>
              </w:rPr>
            </w:pPr>
            <w:r w:rsidRPr="005B360C">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4</w:t>
            </w:r>
          </w:p>
        </w:tc>
        <w:tc>
          <w:tcPr>
            <w:tcW w:w="1120" w:type="dxa"/>
            <w:tcBorders>
              <w:top w:val="nil"/>
              <w:left w:val="nil"/>
              <w:bottom w:val="single" w:sz="8" w:space="0" w:color="000000"/>
              <w:right w:val="single" w:sz="8" w:space="0" w:color="000000"/>
            </w:tcBorders>
            <w:shd w:val="clear" w:color="000000" w:fill="D9D9D9"/>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6</w:t>
            </w:r>
          </w:p>
        </w:tc>
      </w:tr>
      <w:tr w:rsidR="005B360C" w:rsidRPr="005B360C" w:rsidTr="005B360C">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5B360C" w:rsidRPr="005B360C" w:rsidRDefault="005B360C" w:rsidP="005B360C">
            <w:pPr>
              <w:rPr>
                <w:rFonts w:cs="Arial"/>
                <w:color w:val="000000"/>
                <w:lang w:eastAsia="en-GB"/>
              </w:rPr>
            </w:pPr>
            <w:r w:rsidRPr="005B360C">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38</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39</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32</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31</w:t>
            </w:r>
          </w:p>
        </w:tc>
        <w:tc>
          <w:tcPr>
            <w:tcW w:w="1120" w:type="dxa"/>
            <w:tcBorders>
              <w:top w:val="nil"/>
              <w:left w:val="nil"/>
              <w:bottom w:val="single" w:sz="8" w:space="0" w:color="000000"/>
              <w:right w:val="single" w:sz="8" w:space="0" w:color="000000"/>
            </w:tcBorders>
            <w:shd w:val="clear" w:color="000000" w:fill="D9D9D9"/>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27</w:t>
            </w:r>
          </w:p>
        </w:tc>
      </w:tr>
      <w:tr w:rsidR="005B360C" w:rsidRPr="005B360C" w:rsidTr="005B360C">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5B360C" w:rsidRPr="005B360C" w:rsidRDefault="005B360C" w:rsidP="005B360C">
            <w:pPr>
              <w:rPr>
                <w:rFonts w:cs="Arial"/>
                <w:color w:val="000000"/>
                <w:lang w:eastAsia="en-GB"/>
              </w:rPr>
            </w:pPr>
            <w:r w:rsidRPr="005B360C">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39</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35</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38</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29</w:t>
            </w:r>
          </w:p>
        </w:tc>
        <w:tc>
          <w:tcPr>
            <w:tcW w:w="1120" w:type="dxa"/>
            <w:tcBorders>
              <w:top w:val="nil"/>
              <w:left w:val="nil"/>
              <w:bottom w:val="single" w:sz="8" w:space="0" w:color="000000"/>
              <w:right w:val="single" w:sz="8" w:space="0" w:color="000000"/>
            </w:tcBorders>
            <w:shd w:val="clear" w:color="000000" w:fill="D9D9D9"/>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28</w:t>
            </w:r>
          </w:p>
        </w:tc>
      </w:tr>
      <w:tr w:rsidR="005B360C" w:rsidRPr="005B360C" w:rsidTr="005B360C">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5B360C" w:rsidRPr="005B360C" w:rsidRDefault="005B360C" w:rsidP="005B360C">
            <w:pPr>
              <w:rPr>
                <w:rFonts w:cs="Arial"/>
                <w:b/>
                <w:bCs/>
                <w:color w:val="000000"/>
                <w:lang w:eastAsia="en-GB"/>
              </w:rPr>
            </w:pPr>
            <w:r w:rsidRPr="005B360C">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5B360C" w:rsidRPr="005B360C" w:rsidRDefault="005B360C" w:rsidP="005B360C">
            <w:pPr>
              <w:jc w:val="right"/>
              <w:rPr>
                <w:rFonts w:cs="Arial"/>
                <w:b/>
                <w:bCs/>
                <w:color w:val="000000"/>
                <w:lang w:eastAsia="en-GB"/>
              </w:rPr>
            </w:pPr>
            <w:r w:rsidRPr="005B360C">
              <w:rPr>
                <w:rFonts w:cs="Arial"/>
                <w:b/>
                <w:bCs/>
                <w:color w:val="000000"/>
                <w:lang w:eastAsia="en-GB"/>
              </w:rPr>
              <w:t>77</w:t>
            </w:r>
          </w:p>
        </w:tc>
        <w:tc>
          <w:tcPr>
            <w:tcW w:w="1120" w:type="dxa"/>
            <w:tcBorders>
              <w:top w:val="nil"/>
              <w:left w:val="nil"/>
              <w:bottom w:val="single" w:sz="8" w:space="0" w:color="000000"/>
              <w:right w:val="single" w:sz="8" w:space="0" w:color="000000"/>
            </w:tcBorders>
            <w:shd w:val="clear" w:color="000000" w:fill="D9D9D9"/>
            <w:vAlign w:val="center"/>
            <w:hideMark/>
          </w:tcPr>
          <w:p w:rsidR="005B360C" w:rsidRPr="005B360C" w:rsidRDefault="005B360C" w:rsidP="005B360C">
            <w:pPr>
              <w:jc w:val="right"/>
              <w:rPr>
                <w:rFonts w:cs="Arial"/>
                <w:b/>
                <w:bCs/>
                <w:color w:val="000000"/>
                <w:lang w:eastAsia="en-GB"/>
              </w:rPr>
            </w:pPr>
            <w:r w:rsidRPr="005B360C">
              <w:rPr>
                <w:rFonts w:cs="Arial"/>
                <w:b/>
                <w:bCs/>
                <w:color w:val="000000"/>
                <w:lang w:eastAsia="en-GB"/>
              </w:rPr>
              <w:t>74</w:t>
            </w:r>
          </w:p>
        </w:tc>
        <w:tc>
          <w:tcPr>
            <w:tcW w:w="1120" w:type="dxa"/>
            <w:tcBorders>
              <w:top w:val="nil"/>
              <w:left w:val="nil"/>
              <w:bottom w:val="single" w:sz="8" w:space="0" w:color="000000"/>
              <w:right w:val="single" w:sz="8" w:space="0" w:color="000000"/>
            </w:tcBorders>
            <w:shd w:val="clear" w:color="000000" w:fill="D9D9D9"/>
            <w:vAlign w:val="center"/>
            <w:hideMark/>
          </w:tcPr>
          <w:p w:rsidR="005B360C" w:rsidRPr="005B360C" w:rsidRDefault="005B360C" w:rsidP="005B360C">
            <w:pPr>
              <w:jc w:val="right"/>
              <w:rPr>
                <w:rFonts w:cs="Arial"/>
                <w:b/>
                <w:bCs/>
                <w:color w:val="000000"/>
                <w:lang w:eastAsia="en-GB"/>
              </w:rPr>
            </w:pPr>
            <w:r w:rsidRPr="005B360C">
              <w:rPr>
                <w:rFonts w:cs="Arial"/>
                <w:b/>
                <w:bCs/>
                <w:color w:val="000000"/>
                <w:lang w:eastAsia="en-GB"/>
              </w:rPr>
              <w:t>71</w:t>
            </w:r>
          </w:p>
        </w:tc>
        <w:tc>
          <w:tcPr>
            <w:tcW w:w="1120" w:type="dxa"/>
            <w:tcBorders>
              <w:top w:val="nil"/>
              <w:left w:val="nil"/>
              <w:bottom w:val="single" w:sz="8" w:space="0" w:color="000000"/>
              <w:right w:val="single" w:sz="8" w:space="0" w:color="000000"/>
            </w:tcBorders>
            <w:shd w:val="clear" w:color="000000" w:fill="D9D9D9"/>
            <w:vAlign w:val="center"/>
            <w:hideMark/>
          </w:tcPr>
          <w:p w:rsidR="005B360C" w:rsidRPr="005B360C" w:rsidRDefault="005B360C" w:rsidP="005B360C">
            <w:pPr>
              <w:jc w:val="right"/>
              <w:rPr>
                <w:rFonts w:cs="Arial"/>
                <w:b/>
                <w:bCs/>
                <w:color w:val="000000"/>
                <w:lang w:eastAsia="en-GB"/>
              </w:rPr>
            </w:pPr>
            <w:r w:rsidRPr="005B360C">
              <w:rPr>
                <w:rFonts w:cs="Arial"/>
                <w:b/>
                <w:bCs/>
                <w:color w:val="000000"/>
                <w:lang w:eastAsia="en-GB"/>
              </w:rPr>
              <w:t>64</w:t>
            </w:r>
          </w:p>
        </w:tc>
        <w:tc>
          <w:tcPr>
            <w:tcW w:w="1120" w:type="dxa"/>
            <w:tcBorders>
              <w:top w:val="nil"/>
              <w:left w:val="nil"/>
              <w:bottom w:val="single" w:sz="8" w:space="0" w:color="000000"/>
              <w:right w:val="single" w:sz="8" w:space="0" w:color="000000"/>
            </w:tcBorders>
            <w:shd w:val="clear" w:color="000000" w:fill="D9D9D9"/>
            <w:vAlign w:val="center"/>
            <w:hideMark/>
          </w:tcPr>
          <w:p w:rsidR="005B360C" w:rsidRPr="005B360C" w:rsidRDefault="005B360C" w:rsidP="005B360C">
            <w:pPr>
              <w:jc w:val="right"/>
              <w:rPr>
                <w:rFonts w:cs="Arial"/>
                <w:b/>
                <w:bCs/>
                <w:color w:val="000000"/>
                <w:lang w:eastAsia="en-GB"/>
              </w:rPr>
            </w:pPr>
            <w:r w:rsidRPr="005B360C">
              <w:rPr>
                <w:rFonts w:cs="Arial"/>
                <w:b/>
                <w:bCs/>
                <w:color w:val="000000"/>
                <w:lang w:eastAsia="en-GB"/>
              </w:rPr>
              <w:t>61</w:t>
            </w:r>
          </w:p>
        </w:tc>
      </w:tr>
      <w:tr w:rsidR="005B360C" w:rsidRPr="005B360C" w:rsidTr="005B360C">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5B360C" w:rsidRPr="005B360C" w:rsidRDefault="005B360C" w:rsidP="005B360C">
            <w:pPr>
              <w:rPr>
                <w:rFonts w:cs="Arial"/>
                <w:color w:val="000000"/>
                <w:lang w:eastAsia="en-GB"/>
              </w:rPr>
            </w:pPr>
            <w:r w:rsidRPr="005B360C">
              <w:rPr>
                <w:rFonts w:cs="Arial"/>
                <w:color w:val="000000"/>
                <w:lang w:eastAsia="en-GB"/>
              </w:rPr>
              <w:t>New risks in quarter</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3</w:t>
            </w:r>
          </w:p>
        </w:tc>
      </w:tr>
      <w:tr w:rsidR="005B360C" w:rsidRPr="005B360C" w:rsidTr="005B360C">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5B360C" w:rsidRPr="005B360C" w:rsidRDefault="005B360C" w:rsidP="005B360C">
            <w:pPr>
              <w:rPr>
                <w:rFonts w:cs="Arial"/>
                <w:color w:val="000000"/>
                <w:lang w:eastAsia="en-GB"/>
              </w:rPr>
            </w:pPr>
            <w:r w:rsidRPr="005B360C">
              <w:rPr>
                <w:rFonts w:cs="Arial"/>
                <w:color w:val="000000"/>
                <w:lang w:eastAsia="en-GB"/>
              </w:rPr>
              <w:t>Closed</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3</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4</w:t>
            </w:r>
          </w:p>
        </w:tc>
        <w:tc>
          <w:tcPr>
            <w:tcW w:w="1120" w:type="dxa"/>
            <w:tcBorders>
              <w:top w:val="nil"/>
              <w:left w:val="nil"/>
              <w:bottom w:val="single" w:sz="8" w:space="0" w:color="000000"/>
              <w:right w:val="single" w:sz="8" w:space="0" w:color="000000"/>
            </w:tcBorders>
            <w:shd w:val="clear" w:color="auto" w:fill="auto"/>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9</w:t>
            </w:r>
          </w:p>
        </w:tc>
        <w:tc>
          <w:tcPr>
            <w:tcW w:w="1120" w:type="dxa"/>
            <w:tcBorders>
              <w:top w:val="nil"/>
              <w:left w:val="nil"/>
              <w:bottom w:val="single" w:sz="8" w:space="0" w:color="000000"/>
              <w:right w:val="single" w:sz="8" w:space="0" w:color="000000"/>
            </w:tcBorders>
            <w:shd w:val="clear" w:color="000000" w:fill="D9D9D9"/>
            <w:vAlign w:val="center"/>
            <w:hideMark/>
          </w:tcPr>
          <w:p w:rsidR="005B360C" w:rsidRPr="005B360C" w:rsidRDefault="005B360C" w:rsidP="005B360C">
            <w:pPr>
              <w:jc w:val="right"/>
              <w:rPr>
                <w:rFonts w:cs="Arial"/>
                <w:color w:val="000000"/>
                <w:lang w:eastAsia="en-GB"/>
              </w:rPr>
            </w:pPr>
            <w:r w:rsidRPr="005B360C">
              <w:rPr>
                <w:rFonts w:cs="Arial"/>
                <w:color w:val="000000"/>
                <w:lang w:eastAsia="en-GB"/>
              </w:rPr>
              <w:t>6</w:t>
            </w:r>
          </w:p>
        </w:tc>
      </w:tr>
    </w:tbl>
    <w:p w:rsidR="005B360C" w:rsidRDefault="005B360C" w:rsidP="000C7E80">
      <w:pPr>
        <w:pStyle w:val="ListParagraph"/>
        <w:rPr>
          <w:rFonts w:cs="Arial"/>
        </w:rPr>
      </w:pPr>
    </w:p>
    <w:p w:rsidR="00811D8A" w:rsidRDefault="00811D8A" w:rsidP="000C7E80">
      <w:pPr>
        <w:pStyle w:val="ListParagraph"/>
        <w:rPr>
          <w:rFonts w:cs="Arial"/>
        </w:rPr>
      </w:pPr>
    </w:p>
    <w:p w:rsidR="009723ED" w:rsidRDefault="009723ED" w:rsidP="009723ED">
      <w:pPr>
        <w:numPr>
          <w:ilvl w:val="0"/>
          <w:numId w:val="1"/>
        </w:numPr>
        <w:ind w:left="426"/>
        <w:rPr>
          <w:rFonts w:cs="Arial"/>
        </w:rPr>
      </w:pPr>
      <w:r>
        <w:rPr>
          <w:rFonts w:cs="Arial"/>
        </w:rPr>
        <w:lastRenderedPageBreak/>
        <w:t xml:space="preserve">There has been a complete reassessment of risks in the Planning and Regulatory service area by the new </w:t>
      </w:r>
      <w:r w:rsidR="00357136">
        <w:rPr>
          <w:rFonts w:cs="Arial"/>
        </w:rPr>
        <w:t>H</w:t>
      </w:r>
      <w:r>
        <w:rPr>
          <w:rFonts w:cs="Arial"/>
        </w:rPr>
        <w:t xml:space="preserve">ead of </w:t>
      </w:r>
      <w:r w:rsidR="00357136">
        <w:rPr>
          <w:rFonts w:cs="Arial"/>
        </w:rPr>
        <w:t>S</w:t>
      </w:r>
      <w:r>
        <w:rPr>
          <w:rFonts w:cs="Arial"/>
        </w:rPr>
        <w:t>ervice resulting in an increase in the number of red risks in that area.  Part of the reason for the increase in risk level is the new local plan commitment which will increase external focus on the service.  New control actions have been put in place to mitigate these risks.</w:t>
      </w:r>
    </w:p>
    <w:p w:rsidR="009723ED" w:rsidRDefault="009723ED" w:rsidP="009723ED">
      <w:pPr>
        <w:ind w:left="426"/>
        <w:rPr>
          <w:rFonts w:cs="Arial"/>
        </w:rPr>
      </w:pPr>
    </w:p>
    <w:p w:rsidR="000116FF" w:rsidRPr="00BF0264" w:rsidRDefault="000116FF" w:rsidP="00A32A7B">
      <w:pPr>
        <w:numPr>
          <w:ilvl w:val="0"/>
          <w:numId w:val="1"/>
        </w:numPr>
        <w:ind w:left="426" w:hanging="426"/>
        <w:rPr>
          <w:rFonts w:cs="Arial"/>
        </w:rPr>
      </w:pPr>
      <w:r w:rsidRPr="00BF0264">
        <w:rPr>
          <w:rFonts w:cs="Arial"/>
        </w:rPr>
        <w:t>There w</w:t>
      </w:r>
      <w:r w:rsidR="00993A4E" w:rsidRPr="00BF0264">
        <w:rPr>
          <w:rFonts w:cs="Arial"/>
        </w:rPr>
        <w:t>ere</w:t>
      </w:r>
      <w:r w:rsidR="00463E24" w:rsidRPr="00BF0264">
        <w:rPr>
          <w:rFonts w:cs="Arial"/>
        </w:rPr>
        <w:t xml:space="preserve"> </w:t>
      </w:r>
      <w:r w:rsidR="005B360C">
        <w:rPr>
          <w:rFonts w:cs="Arial"/>
        </w:rPr>
        <w:t>six</w:t>
      </w:r>
      <w:r w:rsidR="005B360C" w:rsidRPr="00BF0264">
        <w:rPr>
          <w:rFonts w:cs="Arial"/>
        </w:rPr>
        <w:t xml:space="preserve"> </w:t>
      </w:r>
      <w:r w:rsidRPr="00BF0264">
        <w:rPr>
          <w:rFonts w:cs="Arial"/>
        </w:rPr>
        <w:t xml:space="preserve">red risks at </w:t>
      </w:r>
      <w:r w:rsidR="00463E24" w:rsidRPr="00BF0264">
        <w:rPr>
          <w:rFonts w:cs="Arial"/>
        </w:rPr>
        <w:t xml:space="preserve">the end of </w:t>
      </w:r>
      <w:r w:rsidR="005510D8">
        <w:rPr>
          <w:rFonts w:cs="Arial"/>
        </w:rPr>
        <w:t>Dec</w:t>
      </w:r>
      <w:r w:rsidR="00993A4E" w:rsidRPr="00BF0264">
        <w:rPr>
          <w:rFonts w:cs="Arial"/>
        </w:rPr>
        <w:t>ember</w:t>
      </w:r>
      <w:r w:rsidR="00463E24" w:rsidRPr="00BF0264">
        <w:rPr>
          <w:rFonts w:cs="Arial"/>
        </w:rPr>
        <w:t xml:space="preserve"> </w:t>
      </w:r>
      <w:r w:rsidR="007F6E5E">
        <w:rPr>
          <w:rFonts w:cs="Arial"/>
        </w:rPr>
        <w:t>20</w:t>
      </w:r>
      <w:r w:rsidR="00463E24" w:rsidRPr="00BF0264">
        <w:rPr>
          <w:rFonts w:cs="Arial"/>
        </w:rPr>
        <w:t>15</w:t>
      </w:r>
      <w:r w:rsidRPr="00BF0264">
        <w:rPr>
          <w:rFonts w:cs="Arial"/>
        </w:rPr>
        <w:t xml:space="preserve"> as follows: -</w:t>
      </w:r>
    </w:p>
    <w:p w:rsidR="00993A4E" w:rsidRPr="00BF0264" w:rsidRDefault="00993A4E" w:rsidP="005B360C">
      <w:pPr>
        <w:pStyle w:val="ListParagraph"/>
        <w:numPr>
          <w:ilvl w:val="0"/>
          <w:numId w:val="23"/>
        </w:numPr>
        <w:ind w:left="992" w:hanging="425"/>
        <w:rPr>
          <w:rFonts w:cs="Arial"/>
        </w:rPr>
      </w:pPr>
      <w:r w:rsidRPr="00BF0264">
        <w:rPr>
          <w:rFonts w:cs="Arial"/>
        </w:rPr>
        <w:t>Housing and Property – relating to increased costs of homelessness</w:t>
      </w:r>
      <w:r w:rsidR="00BF0264" w:rsidRPr="00BF0264">
        <w:rPr>
          <w:rFonts w:cs="Arial"/>
          <w:sz w:val="22"/>
          <w:szCs w:val="22"/>
          <w:lang w:eastAsia="en-GB"/>
        </w:rPr>
        <w:t xml:space="preserve"> </w:t>
      </w:r>
      <w:r w:rsidR="00BF0264" w:rsidRPr="00BF0264">
        <w:rPr>
          <w:rFonts w:cs="Arial"/>
        </w:rPr>
        <w:t>arising from less effective homelessness prevention work and higher homelessness acceptance</w:t>
      </w:r>
    </w:p>
    <w:p w:rsidR="00993A4E" w:rsidRPr="00BF0264" w:rsidRDefault="00993A4E" w:rsidP="005B360C">
      <w:pPr>
        <w:pStyle w:val="ListParagraph"/>
        <w:numPr>
          <w:ilvl w:val="0"/>
          <w:numId w:val="23"/>
        </w:numPr>
        <w:ind w:left="992" w:hanging="425"/>
        <w:rPr>
          <w:rFonts w:cs="Arial"/>
        </w:rPr>
      </w:pPr>
      <w:r w:rsidRPr="00BF0264">
        <w:rPr>
          <w:rFonts w:cs="Arial"/>
        </w:rPr>
        <w:t xml:space="preserve">Housing and Property – relating to </w:t>
      </w:r>
      <w:r w:rsidR="00BF0264" w:rsidRPr="00BF0264">
        <w:rPr>
          <w:rFonts w:cs="Arial"/>
        </w:rPr>
        <w:t xml:space="preserve">HRA </w:t>
      </w:r>
      <w:r w:rsidR="00044EED">
        <w:rPr>
          <w:rFonts w:cs="Arial"/>
        </w:rPr>
        <w:t>B</w:t>
      </w:r>
      <w:r w:rsidR="00BF0264" w:rsidRPr="00BF0264">
        <w:rPr>
          <w:rFonts w:cs="Arial"/>
        </w:rPr>
        <w:t xml:space="preserve">usiness </w:t>
      </w:r>
      <w:r w:rsidR="00044EED">
        <w:rPr>
          <w:rFonts w:cs="Arial"/>
        </w:rPr>
        <w:t>P</w:t>
      </w:r>
      <w:r w:rsidR="00BF0264" w:rsidRPr="00BF0264">
        <w:rPr>
          <w:rFonts w:cs="Arial"/>
        </w:rPr>
        <w:t xml:space="preserve">lan failure and </w:t>
      </w:r>
      <w:r w:rsidR="00044EED">
        <w:rPr>
          <w:rFonts w:cs="Arial"/>
        </w:rPr>
        <w:t xml:space="preserve">the implications for </w:t>
      </w:r>
      <w:r w:rsidR="00BF0264" w:rsidRPr="00BF0264">
        <w:rPr>
          <w:rFonts w:cs="Arial"/>
        </w:rPr>
        <w:t xml:space="preserve">social housing arising from the announcements contained in the Chancellor’s Summer Budget in July.  Changes </w:t>
      </w:r>
      <w:r w:rsidR="00D07007">
        <w:rPr>
          <w:rFonts w:cs="Arial"/>
        </w:rPr>
        <w:t xml:space="preserve">have subsequently </w:t>
      </w:r>
      <w:proofErr w:type="gramStart"/>
      <w:r w:rsidR="00D07007">
        <w:rPr>
          <w:rFonts w:cs="Arial"/>
        </w:rPr>
        <w:t xml:space="preserve">been </w:t>
      </w:r>
      <w:r w:rsidR="00BF0264" w:rsidRPr="00BF0264">
        <w:rPr>
          <w:rFonts w:cs="Arial"/>
        </w:rPr>
        <w:t xml:space="preserve"> made</w:t>
      </w:r>
      <w:proofErr w:type="gramEnd"/>
      <w:r w:rsidR="00BF0264" w:rsidRPr="00BF0264">
        <w:rPr>
          <w:rFonts w:cs="Arial"/>
        </w:rPr>
        <w:t xml:space="preserve"> to the HRA Business Plan </w:t>
      </w:r>
      <w:r w:rsidR="00D07007">
        <w:rPr>
          <w:rFonts w:cs="Arial"/>
        </w:rPr>
        <w:t xml:space="preserve">as part of the Medium Term Financial Planning process </w:t>
      </w:r>
      <w:r w:rsidR="00BF0264" w:rsidRPr="00BF0264">
        <w:rPr>
          <w:rFonts w:cs="Arial"/>
        </w:rPr>
        <w:t xml:space="preserve">to </w:t>
      </w:r>
      <w:r w:rsidR="00D07007">
        <w:rPr>
          <w:rFonts w:cs="Arial"/>
        </w:rPr>
        <w:t xml:space="preserve">help </w:t>
      </w:r>
      <w:r w:rsidR="00BF0264" w:rsidRPr="00BF0264">
        <w:rPr>
          <w:rFonts w:cs="Arial"/>
        </w:rPr>
        <w:t>mitigate the pressures.</w:t>
      </w:r>
      <w:r w:rsidR="00D07007">
        <w:rPr>
          <w:rFonts w:cs="Arial"/>
        </w:rPr>
        <w:t xml:space="preserve"> However, </w:t>
      </w:r>
      <w:r w:rsidR="004036A7">
        <w:rPr>
          <w:rFonts w:cs="Arial"/>
        </w:rPr>
        <w:t xml:space="preserve">as legislation and regulations are still unclear there is still a </w:t>
      </w:r>
      <w:r w:rsidR="00D07007">
        <w:rPr>
          <w:rFonts w:cs="Arial"/>
        </w:rPr>
        <w:t xml:space="preserve">significant </w:t>
      </w:r>
      <w:r w:rsidR="004036A7">
        <w:rPr>
          <w:rFonts w:cs="Arial"/>
        </w:rPr>
        <w:t>risk.</w:t>
      </w:r>
    </w:p>
    <w:p w:rsidR="00993A4E" w:rsidRDefault="00BF0264" w:rsidP="005B360C">
      <w:pPr>
        <w:pStyle w:val="ListParagraph"/>
        <w:numPr>
          <w:ilvl w:val="0"/>
          <w:numId w:val="23"/>
        </w:numPr>
        <w:ind w:left="992" w:hanging="425"/>
        <w:rPr>
          <w:rFonts w:cs="Arial"/>
        </w:rPr>
      </w:pPr>
      <w:r w:rsidRPr="00BF0264">
        <w:rPr>
          <w:rFonts w:cs="Arial"/>
        </w:rPr>
        <w:t xml:space="preserve">Planning and Regulatory – </w:t>
      </w:r>
      <w:r w:rsidR="005510D8">
        <w:rPr>
          <w:rFonts w:cs="Arial"/>
        </w:rPr>
        <w:t>relating to delays to Council projects caused by outside agencies including the County Council and national and regional Government and Government agencies</w:t>
      </w:r>
    </w:p>
    <w:p w:rsidR="005510D8" w:rsidRDefault="005510D8" w:rsidP="005B360C">
      <w:pPr>
        <w:pStyle w:val="ListParagraph"/>
        <w:numPr>
          <w:ilvl w:val="0"/>
          <w:numId w:val="23"/>
        </w:numPr>
        <w:ind w:left="992" w:hanging="425"/>
        <w:rPr>
          <w:rFonts w:cs="Arial"/>
        </w:rPr>
      </w:pPr>
      <w:r w:rsidRPr="00BF0264">
        <w:rPr>
          <w:rFonts w:cs="Arial"/>
        </w:rPr>
        <w:t>Planning and Regulatory –</w:t>
      </w:r>
      <w:r>
        <w:rPr>
          <w:rFonts w:cs="Arial"/>
        </w:rPr>
        <w:t xml:space="preserve"> relating to changes in the planning system arising from m</w:t>
      </w:r>
      <w:bookmarkStart w:id="0" w:name="_GoBack"/>
      <w:bookmarkEnd w:id="0"/>
      <w:r>
        <w:rPr>
          <w:rFonts w:cs="Arial"/>
        </w:rPr>
        <w:t>ajor changes in legislation</w:t>
      </w:r>
    </w:p>
    <w:p w:rsidR="005510D8" w:rsidRDefault="005510D8" w:rsidP="005B360C">
      <w:pPr>
        <w:pStyle w:val="ListParagraph"/>
        <w:numPr>
          <w:ilvl w:val="0"/>
          <w:numId w:val="23"/>
        </w:numPr>
        <w:ind w:left="992" w:hanging="425"/>
        <w:rPr>
          <w:rFonts w:cs="Arial"/>
        </w:rPr>
      </w:pPr>
      <w:r>
        <w:rPr>
          <w:rFonts w:cs="Arial"/>
        </w:rPr>
        <w:t>Planning and Regulatory – relating to major oppositio</w:t>
      </w:r>
      <w:r w:rsidR="008F2A4E">
        <w:rPr>
          <w:rFonts w:cs="Arial"/>
        </w:rPr>
        <w:t>n to emerging statutory plans.</w:t>
      </w:r>
    </w:p>
    <w:p w:rsidR="008F2A4E" w:rsidRPr="00BF0264" w:rsidRDefault="008F2A4E" w:rsidP="005B360C">
      <w:pPr>
        <w:pStyle w:val="ListParagraph"/>
        <w:numPr>
          <w:ilvl w:val="0"/>
          <w:numId w:val="23"/>
        </w:numPr>
        <w:ind w:left="992" w:hanging="425"/>
        <w:rPr>
          <w:rFonts w:cs="Arial"/>
        </w:rPr>
      </w:pPr>
      <w:r>
        <w:rPr>
          <w:rFonts w:cs="Arial"/>
        </w:rPr>
        <w:t>Planning and Regulatory – relating to partnership challenges especially in relation to the Oxford Growth Strategy and the inability to reach agreement with external partners.</w:t>
      </w:r>
    </w:p>
    <w:p w:rsidR="000656DC" w:rsidRPr="00B227BD" w:rsidRDefault="000656DC" w:rsidP="00B227BD">
      <w:pPr>
        <w:ind w:left="426"/>
        <w:rPr>
          <w:rFonts w:cs="Arial"/>
        </w:rPr>
      </w:pPr>
    </w:p>
    <w:p w:rsidR="005510D8" w:rsidRPr="006D7D0D" w:rsidRDefault="005510D8" w:rsidP="005510D8">
      <w:pPr>
        <w:ind w:left="426"/>
        <w:rPr>
          <w:rFonts w:cs="Arial"/>
          <w:u w:val="single"/>
        </w:rPr>
      </w:pPr>
      <w:r w:rsidRPr="006D7D0D">
        <w:rPr>
          <w:rFonts w:cs="Arial"/>
          <w:u w:val="single"/>
        </w:rPr>
        <w:t>Service Area Risk Summary</w:t>
      </w:r>
    </w:p>
    <w:p w:rsidR="008919F7" w:rsidRDefault="006D7D0D" w:rsidP="00A32A7B">
      <w:pPr>
        <w:numPr>
          <w:ilvl w:val="0"/>
          <w:numId w:val="1"/>
        </w:numPr>
        <w:ind w:left="426" w:hanging="426"/>
        <w:rPr>
          <w:rFonts w:cs="Arial"/>
        </w:rPr>
      </w:pPr>
      <w:r w:rsidRPr="006D7D0D">
        <w:rPr>
          <w:rFonts w:cs="Arial"/>
        </w:rPr>
        <w:t>The table below shows the how the service area risks have been scored in accordance to the risk matrix.</w:t>
      </w:r>
      <w:r w:rsidR="0047431D">
        <w:rPr>
          <w:rFonts w:cs="Arial"/>
        </w:rPr>
        <w:t xml:space="preserve">  The risk </w:t>
      </w:r>
      <w:r w:rsidR="004F7B45">
        <w:rPr>
          <w:rFonts w:cs="Arial"/>
        </w:rPr>
        <w:t>with the potential for a catastrophic impact is related to the loss of an investment due to issues with a counterparty; the likelihood of the risk occurring has been managed down to unlikely.</w:t>
      </w:r>
    </w:p>
    <w:p w:rsidR="008919F7" w:rsidRDefault="008919F7" w:rsidP="008919F7">
      <w:pPr>
        <w:pStyle w:val="ListParagraph"/>
        <w:ind w:left="426"/>
        <w:rPr>
          <w:rFonts w:cs="Arial"/>
        </w:rPr>
      </w:pPr>
    </w:p>
    <w:tbl>
      <w:tblPr>
        <w:tblW w:w="8940" w:type="dxa"/>
        <w:tblInd w:w="93" w:type="dxa"/>
        <w:tblLook w:val="04A0" w:firstRow="1" w:lastRow="0" w:firstColumn="1" w:lastColumn="0" w:noHBand="0" w:noVBand="1"/>
      </w:tblPr>
      <w:tblGrid>
        <w:gridCol w:w="1660"/>
        <w:gridCol w:w="1600"/>
        <w:gridCol w:w="1340"/>
        <w:gridCol w:w="1340"/>
        <w:gridCol w:w="1340"/>
        <w:gridCol w:w="1660"/>
      </w:tblGrid>
      <w:tr w:rsidR="00811D8A" w:rsidRPr="00811D8A" w:rsidTr="00811D8A">
        <w:trPr>
          <w:trHeight w:val="585"/>
        </w:trPr>
        <w:tc>
          <w:tcPr>
            <w:tcW w:w="1660" w:type="dxa"/>
            <w:tcBorders>
              <w:top w:val="single" w:sz="12" w:space="0" w:color="auto"/>
              <w:left w:val="single" w:sz="12" w:space="0" w:color="auto"/>
              <w:bottom w:val="single" w:sz="4" w:space="0" w:color="auto"/>
              <w:right w:val="nil"/>
            </w:tcBorders>
            <w:shd w:val="clear" w:color="auto" w:fill="auto"/>
            <w:vAlign w:val="center"/>
            <w:hideMark/>
          </w:tcPr>
          <w:p w:rsidR="00811D8A" w:rsidRPr="00811D8A" w:rsidRDefault="00811D8A" w:rsidP="00811D8A">
            <w:pPr>
              <w:jc w:val="right"/>
              <w:rPr>
                <w:rFonts w:ascii="Verdana" w:hAnsi="Verdana" w:cs="Calibri"/>
                <w:b/>
                <w:bCs/>
                <w:color w:val="000000"/>
                <w:sz w:val="22"/>
                <w:szCs w:val="22"/>
                <w:lang w:eastAsia="en-GB"/>
              </w:rPr>
            </w:pPr>
            <w:r w:rsidRPr="00811D8A">
              <w:rPr>
                <w:rFonts w:ascii="Verdana" w:hAnsi="Verdana" w:cs="Calibri"/>
                <w:b/>
                <w:bCs/>
                <w:color w:val="000000"/>
                <w:sz w:val="22"/>
                <w:szCs w:val="22"/>
                <w:lang w:eastAsia="en-GB"/>
              </w:rPr>
              <w:t>Current</w:t>
            </w:r>
            <w:r w:rsidRPr="00811D8A">
              <w:rPr>
                <w:rFonts w:ascii="Verdana" w:hAnsi="Verdana" w:cs="Calibri"/>
                <w:b/>
                <w:bCs/>
                <w:color w:val="000000"/>
                <w:sz w:val="22"/>
                <w:szCs w:val="22"/>
                <w:lang w:eastAsia="en-GB"/>
              </w:rPr>
              <w:br/>
              <w:t>Impact</w:t>
            </w:r>
          </w:p>
        </w:tc>
        <w:tc>
          <w:tcPr>
            <w:tcW w:w="1600" w:type="dxa"/>
            <w:vMerge w:val="restart"/>
            <w:tcBorders>
              <w:top w:val="single" w:sz="12" w:space="0" w:color="auto"/>
              <w:left w:val="single" w:sz="4" w:space="0" w:color="auto"/>
              <w:bottom w:val="single" w:sz="4" w:space="0" w:color="000000"/>
              <w:right w:val="nil"/>
            </w:tcBorders>
            <w:shd w:val="clear" w:color="auto" w:fill="auto"/>
            <w:vAlign w:val="center"/>
            <w:hideMark/>
          </w:tcPr>
          <w:p w:rsidR="00811D8A" w:rsidRPr="00811D8A" w:rsidRDefault="00811D8A" w:rsidP="00811D8A">
            <w:pPr>
              <w:jc w:val="center"/>
              <w:rPr>
                <w:rFonts w:ascii="Verdana" w:hAnsi="Verdana" w:cs="Calibri"/>
                <w:color w:val="000000"/>
                <w:sz w:val="18"/>
                <w:szCs w:val="18"/>
                <w:lang w:eastAsia="en-GB"/>
              </w:rPr>
            </w:pPr>
            <w:r w:rsidRPr="00811D8A">
              <w:rPr>
                <w:rFonts w:ascii="Verdana" w:hAnsi="Verdana" w:cs="Calibri"/>
                <w:color w:val="000000"/>
                <w:sz w:val="18"/>
                <w:szCs w:val="18"/>
                <w:lang w:eastAsia="en-GB"/>
              </w:rPr>
              <w:t xml:space="preserve">Insignificant </w:t>
            </w:r>
            <w:r w:rsidRPr="00811D8A">
              <w:rPr>
                <w:rFonts w:ascii="Verdana" w:hAnsi="Verdana" w:cs="Calibri"/>
                <w:color w:val="000000"/>
                <w:sz w:val="18"/>
                <w:szCs w:val="18"/>
                <w:lang w:eastAsia="en-GB"/>
              </w:rPr>
              <w:br/>
              <w:t>(1)</w:t>
            </w:r>
          </w:p>
        </w:tc>
        <w:tc>
          <w:tcPr>
            <w:tcW w:w="1340" w:type="dxa"/>
            <w:vMerge w:val="restart"/>
            <w:tcBorders>
              <w:top w:val="single" w:sz="12" w:space="0" w:color="auto"/>
              <w:left w:val="nil"/>
              <w:bottom w:val="single" w:sz="4" w:space="0" w:color="000000"/>
              <w:right w:val="nil"/>
            </w:tcBorders>
            <w:shd w:val="clear" w:color="auto" w:fill="auto"/>
            <w:vAlign w:val="center"/>
            <w:hideMark/>
          </w:tcPr>
          <w:p w:rsidR="00811D8A" w:rsidRPr="00811D8A" w:rsidRDefault="00811D8A" w:rsidP="00811D8A">
            <w:pPr>
              <w:jc w:val="center"/>
              <w:rPr>
                <w:rFonts w:ascii="Verdana" w:hAnsi="Verdana" w:cs="Calibri"/>
                <w:color w:val="000000"/>
                <w:sz w:val="18"/>
                <w:szCs w:val="18"/>
                <w:lang w:eastAsia="en-GB"/>
              </w:rPr>
            </w:pPr>
            <w:r w:rsidRPr="00811D8A">
              <w:rPr>
                <w:rFonts w:ascii="Verdana" w:hAnsi="Verdana" w:cs="Calibri"/>
                <w:color w:val="000000"/>
                <w:sz w:val="18"/>
                <w:szCs w:val="18"/>
                <w:lang w:eastAsia="en-GB"/>
              </w:rPr>
              <w:t xml:space="preserve">Minor </w:t>
            </w:r>
            <w:r w:rsidRPr="00811D8A">
              <w:rPr>
                <w:rFonts w:ascii="Verdana" w:hAnsi="Verdana" w:cs="Calibri"/>
                <w:color w:val="000000"/>
                <w:sz w:val="18"/>
                <w:szCs w:val="18"/>
                <w:lang w:eastAsia="en-GB"/>
              </w:rPr>
              <w:br/>
              <w:t>(2)</w:t>
            </w:r>
          </w:p>
        </w:tc>
        <w:tc>
          <w:tcPr>
            <w:tcW w:w="1340" w:type="dxa"/>
            <w:vMerge w:val="restart"/>
            <w:tcBorders>
              <w:top w:val="single" w:sz="12" w:space="0" w:color="auto"/>
              <w:left w:val="nil"/>
              <w:bottom w:val="single" w:sz="4" w:space="0" w:color="000000"/>
              <w:right w:val="nil"/>
            </w:tcBorders>
            <w:shd w:val="clear" w:color="auto" w:fill="auto"/>
            <w:vAlign w:val="center"/>
            <w:hideMark/>
          </w:tcPr>
          <w:p w:rsidR="00811D8A" w:rsidRPr="00811D8A" w:rsidRDefault="00811D8A" w:rsidP="00811D8A">
            <w:pPr>
              <w:jc w:val="center"/>
              <w:rPr>
                <w:rFonts w:ascii="Verdana" w:hAnsi="Verdana" w:cs="Calibri"/>
                <w:color w:val="000000"/>
                <w:sz w:val="18"/>
                <w:szCs w:val="18"/>
                <w:lang w:eastAsia="en-GB"/>
              </w:rPr>
            </w:pPr>
            <w:r w:rsidRPr="00811D8A">
              <w:rPr>
                <w:rFonts w:ascii="Verdana" w:hAnsi="Verdana" w:cs="Calibri"/>
                <w:color w:val="000000"/>
                <w:sz w:val="18"/>
                <w:szCs w:val="18"/>
                <w:lang w:eastAsia="en-GB"/>
              </w:rPr>
              <w:t xml:space="preserve">Moderate </w:t>
            </w:r>
            <w:r w:rsidRPr="00811D8A">
              <w:rPr>
                <w:rFonts w:ascii="Verdana" w:hAnsi="Verdana" w:cs="Calibri"/>
                <w:color w:val="000000"/>
                <w:sz w:val="18"/>
                <w:szCs w:val="18"/>
                <w:lang w:eastAsia="en-GB"/>
              </w:rPr>
              <w:br/>
              <w:t>(3)</w:t>
            </w:r>
          </w:p>
        </w:tc>
        <w:tc>
          <w:tcPr>
            <w:tcW w:w="1340" w:type="dxa"/>
            <w:vMerge w:val="restart"/>
            <w:tcBorders>
              <w:top w:val="single" w:sz="12" w:space="0" w:color="auto"/>
              <w:left w:val="nil"/>
              <w:bottom w:val="single" w:sz="4" w:space="0" w:color="000000"/>
              <w:right w:val="nil"/>
            </w:tcBorders>
            <w:shd w:val="clear" w:color="auto" w:fill="auto"/>
            <w:vAlign w:val="center"/>
            <w:hideMark/>
          </w:tcPr>
          <w:p w:rsidR="00811D8A" w:rsidRPr="00811D8A" w:rsidRDefault="00811D8A" w:rsidP="00811D8A">
            <w:pPr>
              <w:jc w:val="center"/>
              <w:rPr>
                <w:rFonts w:ascii="Verdana" w:hAnsi="Verdana" w:cs="Calibri"/>
                <w:color w:val="000000"/>
                <w:sz w:val="18"/>
                <w:szCs w:val="18"/>
                <w:lang w:eastAsia="en-GB"/>
              </w:rPr>
            </w:pPr>
            <w:r w:rsidRPr="00811D8A">
              <w:rPr>
                <w:rFonts w:ascii="Verdana" w:hAnsi="Verdana" w:cs="Calibri"/>
                <w:color w:val="000000"/>
                <w:sz w:val="18"/>
                <w:szCs w:val="18"/>
                <w:lang w:eastAsia="en-GB"/>
              </w:rPr>
              <w:t xml:space="preserve">Major </w:t>
            </w:r>
            <w:r w:rsidRPr="00811D8A">
              <w:rPr>
                <w:rFonts w:ascii="Verdana" w:hAnsi="Verdana" w:cs="Calibri"/>
                <w:color w:val="000000"/>
                <w:sz w:val="18"/>
                <w:szCs w:val="18"/>
                <w:lang w:eastAsia="en-GB"/>
              </w:rPr>
              <w:br/>
              <w:t>(4)</w:t>
            </w:r>
          </w:p>
        </w:tc>
        <w:tc>
          <w:tcPr>
            <w:tcW w:w="1660" w:type="dxa"/>
            <w:vMerge w:val="restart"/>
            <w:tcBorders>
              <w:top w:val="single" w:sz="12" w:space="0" w:color="auto"/>
              <w:left w:val="nil"/>
              <w:bottom w:val="single" w:sz="4" w:space="0" w:color="000000"/>
              <w:right w:val="single" w:sz="12" w:space="0" w:color="auto"/>
            </w:tcBorders>
            <w:shd w:val="clear" w:color="auto" w:fill="auto"/>
            <w:vAlign w:val="center"/>
            <w:hideMark/>
          </w:tcPr>
          <w:p w:rsidR="00811D8A" w:rsidRPr="00811D8A" w:rsidRDefault="00811D8A" w:rsidP="00811D8A">
            <w:pPr>
              <w:jc w:val="center"/>
              <w:rPr>
                <w:rFonts w:ascii="Verdana" w:hAnsi="Verdana" w:cs="Calibri"/>
                <w:color w:val="000000"/>
                <w:sz w:val="18"/>
                <w:szCs w:val="18"/>
                <w:lang w:eastAsia="en-GB"/>
              </w:rPr>
            </w:pPr>
            <w:r w:rsidRPr="00811D8A">
              <w:rPr>
                <w:rFonts w:ascii="Verdana" w:hAnsi="Verdana" w:cs="Calibri"/>
                <w:color w:val="000000"/>
                <w:sz w:val="18"/>
                <w:szCs w:val="18"/>
                <w:lang w:eastAsia="en-GB"/>
              </w:rPr>
              <w:t xml:space="preserve">Catastrophic </w:t>
            </w:r>
            <w:r w:rsidRPr="00811D8A">
              <w:rPr>
                <w:rFonts w:ascii="Verdana" w:hAnsi="Verdana" w:cs="Calibri"/>
                <w:color w:val="000000"/>
                <w:sz w:val="18"/>
                <w:szCs w:val="18"/>
                <w:lang w:eastAsia="en-GB"/>
              </w:rPr>
              <w:br/>
              <w:t>(5)</w:t>
            </w:r>
          </w:p>
        </w:tc>
      </w:tr>
      <w:tr w:rsidR="00811D8A" w:rsidRPr="00811D8A" w:rsidTr="00811D8A">
        <w:trPr>
          <w:trHeight w:val="570"/>
        </w:trPr>
        <w:tc>
          <w:tcPr>
            <w:tcW w:w="1660" w:type="dxa"/>
            <w:tcBorders>
              <w:top w:val="nil"/>
              <w:left w:val="single" w:sz="12" w:space="0" w:color="auto"/>
              <w:bottom w:val="nil"/>
              <w:right w:val="single" w:sz="4" w:space="0" w:color="auto"/>
            </w:tcBorders>
            <w:shd w:val="clear" w:color="auto" w:fill="auto"/>
            <w:vAlign w:val="center"/>
            <w:hideMark/>
          </w:tcPr>
          <w:p w:rsidR="00811D8A" w:rsidRPr="00811D8A" w:rsidRDefault="00811D8A" w:rsidP="00811D8A">
            <w:pPr>
              <w:rPr>
                <w:rFonts w:ascii="Verdana" w:hAnsi="Verdana" w:cs="Calibri"/>
                <w:b/>
                <w:bCs/>
                <w:color w:val="000000"/>
                <w:sz w:val="22"/>
                <w:szCs w:val="22"/>
                <w:lang w:eastAsia="en-GB"/>
              </w:rPr>
            </w:pPr>
            <w:r w:rsidRPr="00811D8A">
              <w:rPr>
                <w:rFonts w:ascii="Verdana" w:hAnsi="Verdana" w:cs="Calibri"/>
                <w:b/>
                <w:bCs/>
                <w:color w:val="000000"/>
                <w:sz w:val="22"/>
                <w:szCs w:val="22"/>
                <w:lang w:eastAsia="en-GB"/>
              </w:rPr>
              <w:t>Current</w:t>
            </w:r>
            <w:r w:rsidRPr="00811D8A">
              <w:rPr>
                <w:rFonts w:ascii="Verdana" w:hAnsi="Verdana" w:cs="Calibri"/>
                <w:b/>
                <w:bCs/>
                <w:color w:val="000000"/>
                <w:sz w:val="22"/>
                <w:szCs w:val="22"/>
                <w:lang w:eastAsia="en-GB"/>
              </w:rPr>
              <w:br/>
              <w:t>Probability</w:t>
            </w:r>
          </w:p>
        </w:tc>
        <w:tc>
          <w:tcPr>
            <w:tcW w:w="1600" w:type="dxa"/>
            <w:vMerge/>
            <w:tcBorders>
              <w:top w:val="single" w:sz="12" w:space="0" w:color="auto"/>
              <w:left w:val="single" w:sz="4" w:space="0" w:color="auto"/>
              <w:bottom w:val="single" w:sz="4" w:space="0" w:color="000000"/>
              <w:right w:val="nil"/>
            </w:tcBorders>
            <w:vAlign w:val="center"/>
            <w:hideMark/>
          </w:tcPr>
          <w:p w:rsidR="00811D8A" w:rsidRPr="00811D8A" w:rsidRDefault="00811D8A" w:rsidP="00811D8A">
            <w:pPr>
              <w:rPr>
                <w:rFonts w:ascii="Verdana" w:hAnsi="Verdana" w:cs="Calibri"/>
                <w:color w:val="000000"/>
                <w:sz w:val="18"/>
                <w:szCs w:val="18"/>
                <w:lang w:eastAsia="en-GB"/>
              </w:rPr>
            </w:pPr>
          </w:p>
        </w:tc>
        <w:tc>
          <w:tcPr>
            <w:tcW w:w="1340" w:type="dxa"/>
            <w:vMerge/>
            <w:tcBorders>
              <w:top w:val="single" w:sz="12" w:space="0" w:color="auto"/>
              <w:left w:val="nil"/>
              <w:bottom w:val="single" w:sz="4" w:space="0" w:color="000000"/>
              <w:right w:val="nil"/>
            </w:tcBorders>
            <w:vAlign w:val="center"/>
            <w:hideMark/>
          </w:tcPr>
          <w:p w:rsidR="00811D8A" w:rsidRPr="00811D8A" w:rsidRDefault="00811D8A" w:rsidP="00811D8A">
            <w:pPr>
              <w:rPr>
                <w:rFonts w:ascii="Verdana" w:hAnsi="Verdana" w:cs="Calibri"/>
                <w:color w:val="000000"/>
                <w:sz w:val="18"/>
                <w:szCs w:val="18"/>
                <w:lang w:eastAsia="en-GB"/>
              </w:rPr>
            </w:pPr>
          </w:p>
        </w:tc>
        <w:tc>
          <w:tcPr>
            <w:tcW w:w="1340" w:type="dxa"/>
            <w:vMerge/>
            <w:tcBorders>
              <w:top w:val="single" w:sz="12" w:space="0" w:color="auto"/>
              <w:left w:val="nil"/>
              <w:bottom w:val="single" w:sz="4" w:space="0" w:color="000000"/>
              <w:right w:val="nil"/>
            </w:tcBorders>
            <w:vAlign w:val="center"/>
            <w:hideMark/>
          </w:tcPr>
          <w:p w:rsidR="00811D8A" w:rsidRPr="00811D8A" w:rsidRDefault="00811D8A" w:rsidP="00811D8A">
            <w:pPr>
              <w:rPr>
                <w:rFonts w:ascii="Verdana" w:hAnsi="Verdana" w:cs="Calibri"/>
                <w:color w:val="000000"/>
                <w:sz w:val="18"/>
                <w:szCs w:val="18"/>
                <w:lang w:eastAsia="en-GB"/>
              </w:rPr>
            </w:pPr>
          </w:p>
        </w:tc>
        <w:tc>
          <w:tcPr>
            <w:tcW w:w="1340" w:type="dxa"/>
            <w:vMerge/>
            <w:tcBorders>
              <w:top w:val="single" w:sz="12" w:space="0" w:color="auto"/>
              <w:left w:val="nil"/>
              <w:bottom w:val="single" w:sz="4" w:space="0" w:color="000000"/>
              <w:right w:val="nil"/>
            </w:tcBorders>
            <w:vAlign w:val="center"/>
            <w:hideMark/>
          </w:tcPr>
          <w:p w:rsidR="00811D8A" w:rsidRPr="00811D8A" w:rsidRDefault="00811D8A" w:rsidP="00811D8A">
            <w:pPr>
              <w:rPr>
                <w:rFonts w:ascii="Verdana" w:hAnsi="Verdana" w:cs="Calibri"/>
                <w:color w:val="000000"/>
                <w:sz w:val="18"/>
                <w:szCs w:val="18"/>
                <w:lang w:eastAsia="en-GB"/>
              </w:rPr>
            </w:pPr>
          </w:p>
        </w:tc>
        <w:tc>
          <w:tcPr>
            <w:tcW w:w="1660" w:type="dxa"/>
            <w:vMerge/>
            <w:tcBorders>
              <w:top w:val="single" w:sz="12" w:space="0" w:color="auto"/>
              <w:left w:val="nil"/>
              <w:bottom w:val="single" w:sz="4" w:space="0" w:color="000000"/>
              <w:right w:val="single" w:sz="12" w:space="0" w:color="auto"/>
            </w:tcBorders>
            <w:vAlign w:val="center"/>
            <w:hideMark/>
          </w:tcPr>
          <w:p w:rsidR="00811D8A" w:rsidRPr="00811D8A" w:rsidRDefault="00811D8A" w:rsidP="00811D8A">
            <w:pPr>
              <w:rPr>
                <w:rFonts w:ascii="Verdana" w:hAnsi="Verdana" w:cs="Calibri"/>
                <w:color w:val="000000"/>
                <w:sz w:val="18"/>
                <w:szCs w:val="18"/>
                <w:lang w:eastAsia="en-GB"/>
              </w:rPr>
            </w:pPr>
          </w:p>
        </w:tc>
      </w:tr>
      <w:tr w:rsidR="00811D8A" w:rsidRPr="00811D8A" w:rsidTr="00811D8A">
        <w:trPr>
          <w:trHeight w:val="600"/>
        </w:trPr>
        <w:tc>
          <w:tcPr>
            <w:tcW w:w="1660" w:type="dxa"/>
            <w:tcBorders>
              <w:top w:val="nil"/>
              <w:left w:val="single" w:sz="12" w:space="0" w:color="auto"/>
              <w:bottom w:val="nil"/>
              <w:right w:val="single" w:sz="4" w:space="0" w:color="auto"/>
            </w:tcBorders>
            <w:shd w:val="clear" w:color="auto" w:fill="auto"/>
            <w:vAlign w:val="center"/>
            <w:hideMark/>
          </w:tcPr>
          <w:p w:rsidR="00811D8A" w:rsidRPr="00811D8A" w:rsidRDefault="00811D8A" w:rsidP="00811D8A">
            <w:pPr>
              <w:rPr>
                <w:rFonts w:ascii="Verdana" w:hAnsi="Verdana" w:cs="Calibri"/>
                <w:color w:val="000000"/>
                <w:sz w:val="20"/>
                <w:szCs w:val="20"/>
                <w:lang w:eastAsia="en-GB"/>
              </w:rPr>
            </w:pPr>
            <w:r w:rsidRPr="00811D8A">
              <w:rPr>
                <w:rFonts w:ascii="Verdana" w:hAnsi="Verdana" w:cs="Calibri"/>
                <w:color w:val="000000"/>
                <w:sz w:val="20"/>
                <w:szCs w:val="20"/>
                <w:lang w:eastAsia="en-GB"/>
              </w:rPr>
              <w:t>Almost</w:t>
            </w:r>
            <w:r w:rsidRPr="00811D8A">
              <w:rPr>
                <w:rFonts w:ascii="Verdana" w:hAnsi="Verdana" w:cs="Calibri"/>
                <w:color w:val="000000"/>
                <w:sz w:val="20"/>
                <w:szCs w:val="20"/>
                <w:lang w:eastAsia="en-GB"/>
              </w:rPr>
              <w:br/>
              <w:t>Certain (5)</w:t>
            </w:r>
          </w:p>
        </w:tc>
        <w:tc>
          <w:tcPr>
            <w:tcW w:w="1600" w:type="dxa"/>
            <w:tcBorders>
              <w:top w:val="nil"/>
              <w:left w:val="nil"/>
              <w:bottom w:val="nil"/>
              <w:right w:val="single" w:sz="4" w:space="0" w:color="auto"/>
            </w:tcBorders>
            <w:shd w:val="thinHorzStripe" w:color="000000" w:fill="00B05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c>
          <w:tcPr>
            <w:tcW w:w="1340" w:type="dxa"/>
            <w:tcBorders>
              <w:top w:val="nil"/>
              <w:left w:val="nil"/>
              <w:bottom w:val="nil"/>
              <w:right w:val="nil"/>
            </w:tcBorders>
            <w:shd w:val="thinVertStripe" w:color="000000" w:fill="FFC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c>
          <w:tcPr>
            <w:tcW w:w="1340" w:type="dxa"/>
            <w:tcBorders>
              <w:top w:val="nil"/>
              <w:left w:val="nil"/>
              <w:bottom w:val="nil"/>
              <w:right w:val="nil"/>
            </w:tcBorders>
            <w:shd w:val="thinVertStripe" w:color="000000" w:fill="FFC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c>
          <w:tcPr>
            <w:tcW w:w="1340" w:type="dxa"/>
            <w:tcBorders>
              <w:top w:val="nil"/>
              <w:left w:val="single" w:sz="4" w:space="0" w:color="auto"/>
              <w:bottom w:val="nil"/>
              <w:right w:val="nil"/>
            </w:tcBorders>
            <w:shd w:val="thinDiagCross" w:color="000000" w:fill="FF0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c>
          <w:tcPr>
            <w:tcW w:w="1660" w:type="dxa"/>
            <w:tcBorders>
              <w:top w:val="nil"/>
              <w:left w:val="nil"/>
              <w:bottom w:val="nil"/>
              <w:right w:val="single" w:sz="12" w:space="0" w:color="auto"/>
            </w:tcBorders>
            <w:shd w:val="thinDiagCross" w:color="000000" w:fill="FF0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r>
      <w:tr w:rsidR="00811D8A" w:rsidRPr="00811D8A" w:rsidTr="00811D8A">
        <w:trPr>
          <w:trHeight w:val="600"/>
        </w:trPr>
        <w:tc>
          <w:tcPr>
            <w:tcW w:w="1660" w:type="dxa"/>
            <w:tcBorders>
              <w:top w:val="nil"/>
              <w:left w:val="single" w:sz="12" w:space="0" w:color="auto"/>
              <w:bottom w:val="nil"/>
              <w:right w:val="single" w:sz="4" w:space="0" w:color="auto"/>
            </w:tcBorders>
            <w:shd w:val="clear" w:color="auto" w:fill="auto"/>
            <w:noWrap/>
            <w:vAlign w:val="center"/>
            <w:hideMark/>
          </w:tcPr>
          <w:p w:rsidR="00811D8A" w:rsidRPr="00811D8A" w:rsidRDefault="00811D8A" w:rsidP="00811D8A">
            <w:pPr>
              <w:rPr>
                <w:rFonts w:ascii="Verdana" w:hAnsi="Verdana" w:cs="Calibri"/>
                <w:color w:val="000000"/>
                <w:sz w:val="20"/>
                <w:szCs w:val="20"/>
                <w:lang w:eastAsia="en-GB"/>
              </w:rPr>
            </w:pPr>
            <w:r w:rsidRPr="00811D8A">
              <w:rPr>
                <w:rFonts w:ascii="Verdana" w:hAnsi="Verdana" w:cs="Calibri"/>
                <w:color w:val="000000"/>
                <w:sz w:val="20"/>
                <w:szCs w:val="20"/>
                <w:lang w:eastAsia="en-GB"/>
              </w:rPr>
              <w:t>Likely (4)</w:t>
            </w:r>
          </w:p>
        </w:tc>
        <w:tc>
          <w:tcPr>
            <w:tcW w:w="1600" w:type="dxa"/>
            <w:tcBorders>
              <w:top w:val="nil"/>
              <w:left w:val="nil"/>
              <w:bottom w:val="nil"/>
              <w:right w:val="single" w:sz="4" w:space="0" w:color="auto"/>
            </w:tcBorders>
            <w:shd w:val="thinHorzStripe" w:color="000000" w:fill="00B05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c>
          <w:tcPr>
            <w:tcW w:w="1340" w:type="dxa"/>
            <w:tcBorders>
              <w:top w:val="nil"/>
              <w:left w:val="nil"/>
              <w:bottom w:val="nil"/>
              <w:right w:val="nil"/>
            </w:tcBorders>
            <w:shd w:val="thinVertStripe" w:color="000000" w:fill="FFC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2</w:t>
            </w:r>
          </w:p>
        </w:tc>
        <w:tc>
          <w:tcPr>
            <w:tcW w:w="1340" w:type="dxa"/>
            <w:tcBorders>
              <w:top w:val="nil"/>
              <w:left w:val="nil"/>
              <w:bottom w:val="nil"/>
              <w:right w:val="nil"/>
            </w:tcBorders>
            <w:shd w:val="thinVertStripe" w:color="000000" w:fill="FFC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2</w:t>
            </w:r>
          </w:p>
        </w:tc>
        <w:tc>
          <w:tcPr>
            <w:tcW w:w="1340" w:type="dxa"/>
            <w:tcBorders>
              <w:top w:val="nil"/>
              <w:left w:val="single" w:sz="4" w:space="0" w:color="auto"/>
              <w:bottom w:val="nil"/>
              <w:right w:val="nil"/>
            </w:tcBorders>
            <w:shd w:val="thinDiagCross" w:color="000000" w:fill="FF0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2</w:t>
            </w:r>
          </w:p>
        </w:tc>
        <w:tc>
          <w:tcPr>
            <w:tcW w:w="1660" w:type="dxa"/>
            <w:tcBorders>
              <w:top w:val="nil"/>
              <w:left w:val="nil"/>
              <w:bottom w:val="nil"/>
              <w:right w:val="single" w:sz="12" w:space="0" w:color="auto"/>
            </w:tcBorders>
            <w:shd w:val="thinDiagCross" w:color="000000" w:fill="FF0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r>
      <w:tr w:rsidR="00811D8A" w:rsidRPr="00811D8A" w:rsidTr="00811D8A">
        <w:trPr>
          <w:trHeight w:val="600"/>
        </w:trPr>
        <w:tc>
          <w:tcPr>
            <w:tcW w:w="1660" w:type="dxa"/>
            <w:tcBorders>
              <w:top w:val="nil"/>
              <w:left w:val="single" w:sz="12" w:space="0" w:color="auto"/>
              <w:bottom w:val="nil"/>
              <w:right w:val="single" w:sz="4" w:space="0" w:color="auto"/>
            </w:tcBorders>
            <w:shd w:val="clear" w:color="auto" w:fill="auto"/>
            <w:noWrap/>
            <w:vAlign w:val="center"/>
            <w:hideMark/>
          </w:tcPr>
          <w:p w:rsidR="00811D8A" w:rsidRPr="00811D8A" w:rsidRDefault="00811D8A" w:rsidP="00811D8A">
            <w:pPr>
              <w:rPr>
                <w:rFonts w:ascii="Verdana" w:hAnsi="Verdana" w:cs="Calibri"/>
                <w:color w:val="000000"/>
                <w:sz w:val="20"/>
                <w:szCs w:val="20"/>
                <w:lang w:eastAsia="en-GB"/>
              </w:rPr>
            </w:pPr>
            <w:r w:rsidRPr="00811D8A">
              <w:rPr>
                <w:rFonts w:ascii="Verdana" w:hAnsi="Verdana" w:cs="Calibri"/>
                <w:color w:val="000000"/>
                <w:sz w:val="20"/>
                <w:szCs w:val="20"/>
                <w:lang w:eastAsia="en-GB"/>
              </w:rPr>
              <w:t>Possible (3)</w:t>
            </w:r>
          </w:p>
        </w:tc>
        <w:tc>
          <w:tcPr>
            <w:tcW w:w="1600" w:type="dxa"/>
            <w:tcBorders>
              <w:top w:val="nil"/>
              <w:left w:val="nil"/>
              <w:bottom w:val="nil"/>
              <w:right w:val="nil"/>
            </w:tcBorders>
            <w:shd w:val="thinHorzStripe" w:color="000000" w:fill="00B05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c>
          <w:tcPr>
            <w:tcW w:w="1340" w:type="dxa"/>
            <w:tcBorders>
              <w:top w:val="single" w:sz="4" w:space="0" w:color="auto"/>
              <w:left w:val="nil"/>
              <w:bottom w:val="nil"/>
              <w:right w:val="single" w:sz="4" w:space="0" w:color="auto"/>
            </w:tcBorders>
            <w:shd w:val="thinHorzStripe" w:color="000000" w:fill="00B05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7</w:t>
            </w:r>
          </w:p>
        </w:tc>
        <w:tc>
          <w:tcPr>
            <w:tcW w:w="1340" w:type="dxa"/>
            <w:tcBorders>
              <w:top w:val="nil"/>
              <w:left w:val="nil"/>
              <w:bottom w:val="nil"/>
              <w:right w:val="nil"/>
            </w:tcBorders>
            <w:shd w:val="thinVertStripe" w:color="000000" w:fill="FFC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18</w:t>
            </w:r>
          </w:p>
        </w:tc>
        <w:tc>
          <w:tcPr>
            <w:tcW w:w="1340" w:type="dxa"/>
            <w:tcBorders>
              <w:top w:val="nil"/>
              <w:left w:val="single" w:sz="4" w:space="0" w:color="auto"/>
              <w:bottom w:val="single" w:sz="4" w:space="0" w:color="auto"/>
              <w:right w:val="nil"/>
            </w:tcBorders>
            <w:shd w:val="thinDiagCross" w:color="000000" w:fill="FF0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5</w:t>
            </w:r>
          </w:p>
        </w:tc>
        <w:tc>
          <w:tcPr>
            <w:tcW w:w="1660" w:type="dxa"/>
            <w:tcBorders>
              <w:top w:val="nil"/>
              <w:left w:val="nil"/>
              <w:bottom w:val="single" w:sz="4" w:space="0" w:color="auto"/>
              <w:right w:val="single" w:sz="12" w:space="0" w:color="auto"/>
            </w:tcBorders>
            <w:shd w:val="thinDiagCross" w:color="000000" w:fill="FF0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r>
      <w:tr w:rsidR="00811D8A" w:rsidRPr="00811D8A" w:rsidTr="00811D8A">
        <w:trPr>
          <w:trHeight w:val="600"/>
        </w:trPr>
        <w:tc>
          <w:tcPr>
            <w:tcW w:w="1660" w:type="dxa"/>
            <w:tcBorders>
              <w:top w:val="nil"/>
              <w:left w:val="single" w:sz="12" w:space="0" w:color="auto"/>
              <w:bottom w:val="nil"/>
              <w:right w:val="single" w:sz="4" w:space="0" w:color="auto"/>
            </w:tcBorders>
            <w:shd w:val="clear" w:color="auto" w:fill="auto"/>
            <w:noWrap/>
            <w:vAlign w:val="center"/>
            <w:hideMark/>
          </w:tcPr>
          <w:p w:rsidR="00811D8A" w:rsidRPr="00811D8A" w:rsidRDefault="00811D8A" w:rsidP="00811D8A">
            <w:pPr>
              <w:rPr>
                <w:rFonts w:ascii="Verdana" w:hAnsi="Verdana" w:cs="Calibri"/>
                <w:color w:val="000000"/>
                <w:sz w:val="20"/>
                <w:szCs w:val="20"/>
                <w:lang w:eastAsia="en-GB"/>
              </w:rPr>
            </w:pPr>
            <w:r w:rsidRPr="00811D8A">
              <w:rPr>
                <w:rFonts w:ascii="Verdana" w:hAnsi="Verdana" w:cs="Calibri"/>
                <w:color w:val="000000"/>
                <w:sz w:val="20"/>
                <w:szCs w:val="20"/>
                <w:lang w:eastAsia="en-GB"/>
              </w:rPr>
              <w:t>Unlikely (2)</w:t>
            </w:r>
          </w:p>
        </w:tc>
        <w:tc>
          <w:tcPr>
            <w:tcW w:w="1600" w:type="dxa"/>
            <w:tcBorders>
              <w:top w:val="nil"/>
              <w:left w:val="nil"/>
              <w:bottom w:val="nil"/>
              <w:right w:val="nil"/>
            </w:tcBorders>
            <w:shd w:val="thinHorzStripe" w:color="000000" w:fill="00B05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c>
          <w:tcPr>
            <w:tcW w:w="1340" w:type="dxa"/>
            <w:tcBorders>
              <w:top w:val="nil"/>
              <w:left w:val="nil"/>
              <w:bottom w:val="nil"/>
              <w:right w:val="nil"/>
            </w:tcBorders>
            <w:shd w:val="thinHorzStripe" w:color="000000" w:fill="00B05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10</w:t>
            </w:r>
          </w:p>
        </w:tc>
        <w:tc>
          <w:tcPr>
            <w:tcW w:w="1340" w:type="dxa"/>
            <w:tcBorders>
              <w:top w:val="single" w:sz="4" w:space="0" w:color="auto"/>
              <w:left w:val="nil"/>
              <w:bottom w:val="nil"/>
              <w:right w:val="single" w:sz="4" w:space="0" w:color="auto"/>
            </w:tcBorders>
            <w:shd w:val="thinHorzStripe" w:color="000000" w:fill="00B05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7</w:t>
            </w:r>
          </w:p>
        </w:tc>
        <w:tc>
          <w:tcPr>
            <w:tcW w:w="1340" w:type="dxa"/>
            <w:tcBorders>
              <w:top w:val="nil"/>
              <w:left w:val="nil"/>
              <w:bottom w:val="nil"/>
              <w:right w:val="nil"/>
            </w:tcBorders>
            <w:shd w:val="thinVertStripe" w:color="000000" w:fill="FFC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4</w:t>
            </w:r>
          </w:p>
        </w:tc>
        <w:tc>
          <w:tcPr>
            <w:tcW w:w="1660" w:type="dxa"/>
            <w:tcBorders>
              <w:top w:val="nil"/>
              <w:left w:val="nil"/>
              <w:bottom w:val="nil"/>
              <w:right w:val="single" w:sz="12" w:space="0" w:color="auto"/>
            </w:tcBorders>
            <w:shd w:val="thinVertStripe" w:color="000000" w:fill="FFC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r>
      <w:tr w:rsidR="00811D8A" w:rsidRPr="00811D8A" w:rsidTr="00811D8A">
        <w:trPr>
          <w:trHeight w:val="600"/>
        </w:trPr>
        <w:tc>
          <w:tcPr>
            <w:tcW w:w="1660" w:type="dxa"/>
            <w:tcBorders>
              <w:top w:val="nil"/>
              <w:left w:val="single" w:sz="12" w:space="0" w:color="auto"/>
              <w:bottom w:val="single" w:sz="12" w:space="0" w:color="auto"/>
              <w:right w:val="single" w:sz="4" w:space="0" w:color="auto"/>
            </w:tcBorders>
            <w:shd w:val="clear" w:color="auto" w:fill="auto"/>
            <w:noWrap/>
            <w:vAlign w:val="center"/>
            <w:hideMark/>
          </w:tcPr>
          <w:p w:rsidR="00811D8A" w:rsidRPr="00811D8A" w:rsidRDefault="00811D8A" w:rsidP="00811D8A">
            <w:pPr>
              <w:rPr>
                <w:rFonts w:ascii="Verdana" w:hAnsi="Verdana" w:cs="Calibri"/>
                <w:color w:val="000000"/>
                <w:sz w:val="20"/>
                <w:szCs w:val="20"/>
                <w:lang w:eastAsia="en-GB"/>
              </w:rPr>
            </w:pPr>
            <w:r w:rsidRPr="00811D8A">
              <w:rPr>
                <w:rFonts w:ascii="Verdana" w:hAnsi="Verdana" w:cs="Calibri"/>
                <w:color w:val="000000"/>
                <w:sz w:val="20"/>
                <w:szCs w:val="20"/>
                <w:lang w:eastAsia="en-GB"/>
              </w:rPr>
              <w:t>Rare (1)</w:t>
            </w:r>
          </w:p>
        </w:tc>
        <w:tc>
          <w:tcPr>
            <w:tcW w:w="1600" w:type="dxa"/>
            <w:tcBorders>
              <w:top w:val="nil"/>
              <w:left w:val="nil"/>
              <w:bottom w:val="single" w:sz="12" w:space="0" w:color="auto"/>
              <w:right w:val="nil"/>
            </w:tcBorders>
            <w:shd w:val="thinHorzStripe" w:color="000000" w:fill="00B05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3</w:t>
            </w:r>
          </w:p>
        </w:tc>
        <w:tc>
          <w:tcPr>
            <w:tcW w:w="1340" w:type="dxa"/>
            <w:tcBorders>
              <w:top w:val="nil"/>
              <w:left w:val="nil"/>
              <w:bottom w:val="single" w:sz="12" w:space="0" w:color="auto"/>
              <w:right w:val="nil"/>
            </w:tcBorders>
            <w:shd w:val="thinHorzStripe" w:color="000000" w:fill="00B05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c>
          <w:tcPr>
            <w:tcW w:w="1340" w:type="dxa"/>
            <w:tcBorders>
              <w:top w:val="nil"/>
              <w:left w:val="nil"/>
              <w:bottom w:val="single" w:sz="12" w:space="0" w:color="auto"/>
              <w:right w:val="nil"/>
            </w:tcBorders>
            <w:shd w:val="thinHorzStripe" w:color="000000" w:fill="00B05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1</w:t>
            </w:r>
          </w:p>
        </w:tc>
        <w:tc>
          <w:tcPr>
            <w:tcW w:w="1340" w:type="dxa"/>
            <w:tcBorders>
              <w:top w:val="single" w:sz="4" w:space="0" w:color="auto"/>
              <w:left w:val="nil"/>
              <w:bottom w:val="single" w:sz="12" w:space="0" w:color="auto"/>
              <w:right w:val="single" w:sz="4" w:space="0" w:color="auto"/>
            </w:tcBorders>
            <w:shd w:val="thinHorzStripe" w:color="000000" w:fill="00B05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c>
          <w:tcPr>
            <w:tcW w:w="1660" w:type="dxa"/>
            <w:tcBorders>
              <w:top w:val="nil"/>
              <w:left w:val="nil"/>
              <w:bottom w:val="single" w:sz="12" w:space="0" w:color="auto"/>
              <w:right w:val="single" w:sz="12" w:space="0" w:color="auto"/>
            </w:tcBorders>
            <w:shd w:val="thinVertStripe" w:color="000000" w:fill="FFC000"/>
            <w:noWrap/>
            <w:vAlign w:val="center"/>
            <w:hideMark/>
          </w:tcPr>
          <w:p w:rsidR="00811D8A" w:rsidRPr="00811D8A" w:rsidRDefault="00811D8A" w:rsidP="00811D8A">
            <w:pPr>
              <w:jc w:val="center"/>
              <w:rPr>
                <w:rFonts w:ascii="Verdana" w:hAnsi="Verdana" w:cs="Calibri"/>
                <w:b/>
                <w:bCs/>
                <w:color w:val="000000"/>
                <w:lang w:eastAsia="en-GB"/>
              </w:rPr>
            </w:pPr>
            <w:r w:rsidRPr="00811D8A">
              <w:rPr>
                <w:rFonts w:ascii="Verdana" w:hAnsi="Verdana" w:cs="Calibri"/>
                <w:b/>
                <w:bCs/>
                <w:color w:val="000000"/>
                <w:lang w:eastAsia="en-GB"/>
              </w:rPr>
              <w:t> </w:t>
            </w:r>
          </w:p>
        </w:tc>
      </w:tr>
    </w:tbl>
    <w:p w:rsidR="00811D8A" w:rsidRDefault="00811D8A" w:rsidP="008919F7">
      <w:pPr>
        <w:pStyle w:val="ListParagraph"/>
        <w:ind w:left="426"/>
        <w:rPr>
          <w:rFonts w:cs="Arial"/>
        </w:rPr>
      </w:pPr>
    </w:p>
    <w:p w:rsidR="00B647CA" w:rsidRDefault="00B647CA" w:rsidP="000F409C">
      <w:pPr>
        <w:rPr>
          <w:rFonts w:cs="Arial"/>
          <w:b/>
        </w:rPr>
      </w:pPr>
      <w:r>
        <w:rPr>
          <w:rFonts w:cs="Arial"/>
          <w:b/>
        </w:rPr>
        <w:t>Climate Change / Environmental Impact</w:t>
      </w:r>
    </w:p>
    <w:p w:rsidR="00B647CA" w:rsidRPr="006F4BA2" w:rsidRDefault="00B647CA" w:rsidP="00BD4A81">
      <w:pPr>
        <w:numPr>
          <w:ilvl w:val="0"/>
          <w:numId w:val="1"/>
        </w:numPr>
        <w:ind w:left="426" w:hanging="426"/>
        <w:rPr>
          <w:rFonts w:cs="Arial"/>
        </w:rPr>
      </w:pPr>
      <w:r w:rsidRPr="006F4BA2">
        <w:rPr>
          <w:rFonts w:cs="Arial"/>
        </w:rPr>
        <w:t>There are no issues arising directly from this report</w:t>
      </w:r>
    </w:p>
    <w:p w:rsidR="00B647CA" w:rsidRPr="006F4BA2" w:rsidRDefault="00B647CA" w:rsidP="006F4BA2">
      <w:pPr>
        <w:ind w:left="426"/>
        <w:rPr>
          <w:rFonts w:cs="Arial"/>
        </w:rPr>
      </w:pPr>
    </w:p>
    <w:p w:rsidR="00B647CA" w:rsidRDefault="00B647CA" w:rsidP="006F4BA2">
      <w:pPr>
        <w:rPr>
          <w:rFonts w:cs="Arial"/>
          <w:b/>
        </w:rPr>
      </w:pPr>
      <w:r w:rsidRPr="00B647CA">
        <w:rPr>
          <w:rFonts w:cs="Arial"/>
          <w:b/>
        </w:rPr>
        <w:t>Equalities impact</w:t>
      </w:r>
    </w:p>
    <w:p w:rsidR="00B647CA" w:rsidRPr="006F4BA2" w:rsidRDefault="00B647CA" w:rsidP="00BD4A81">
      <w:pPr>
        <w:numPr>
          <w:ilvl w:val="0"/>
          <w:numId w:val="1"/>
        </w:numPr>
        <w:ind w:left="426" w:hanging="426"/>
        <w:rPr>
          <w:rFonts w:cs="Arial"/>
        </w:rPr>
      </w:pPr>
      <w:r w:rsidRPr="006F4BA2">
        <w:rPr>
          <w:rFonts w:cs="Arial"/>
        </w:rPr>
        <w:t>There are no equalities impacts arising directly from this report</w:t>
      </w:r>
    </w:p>
    <w:p w:rsidR="006F4BA2" w:rsidRPr="006F4BA2" w:rsidRDefault="006F4BA2" w:rsidP="006F4BA2">
      <w:pPr>
        <w:rPr>
          <w:rFonts w:cs="Arial"/>
        </w:rPr>
      </w:pPr>
    </w:p>
    <w:p w:rsidR="00B647CA" w:rsidRDefault="00B647CA" w:rsidP="006F4BA2">
      <w:pPr>
        <w:rPr>
          <w:rFonts w:cs="Arial"/>
          <w:b/>
        </w:rPr>
      </w:pPr>
      <w:r w:rsidRPr="00B647CA">
        <w:rPr>
          <w:rFonts w:cs="Arial"/>
          <w:b/>
        </w:rPr>
        <w:t>Financial Implications</w:t>
      </w:r>
    </w:p>
    <w:p w:rsidR="00B647CA" w:rsidRPr="006F4BA2" w:rsidRDefault="006D7D0D" w:rsidP="00BD4A81">
      <w:pPr>
        <w:numPr>
          <w:ilvl w:val="0"/>
          <w:numId w:val="1"/>
        </w:numPr>
        <w:ind w:left="426" w:hanging="426"/>
        <w:rPr>
          <w:rFonts w:cs="Arial"/>
        </w:rPr>
      </w:pPr>
      <w:r w:rsidRPr="006D7D0D">
        <w:rPr>
          <w:rFonts w:cs="Arial"/>
        </w:rPr>
        <w:t>The Robust management of risk should assist in mitigating the financial impact to the</w:t>
      </w:r>
      <w:r>
        <w:rPr>
          <w:rFonts w:cs="Arial"/>
        </w:rPr>
        <w:t xml:space="preserve"> Council should the event occur</w:t>
      </w:r>
      <w:r w:rsidR="00B647CA" w:rsidRPr="006F4BA2">
        <w:rPr>
          <w:rFonts w:cs="Arial"/>
        </w:rPr>
        <w:t>.</w:t>
      </w:r>
    </w:p>
    <w:p w:rsidR="00714894" w:rsidRPr="006F4BA2" w:rsidRDefault="00714894" w:rsidP="00445174">
      <w:pPr>
        <w:rPr>
          <w:rFonts w:cs="Arial"/>
        </w:rPr>
      </w:pPr>
    </w:p>
    <w:p w:rsidR="00445174" w:rsidRDefault="005044C6" w:rsidP="00445174">
      <w:pPr>
        <w:rPr>
          <w:rFonts w:cs="Arial"/>
          <w:b/>
        </w:rPr>
      </w:pPr>
      <w:r w:rsidRPr="005044C6">
        <w:rPr>
          <w:rFonts w:cs="Arial"/>
          <w:b/>
        </w:rPr>
        <w:t>Legal Implications</w:t>
      </w:r>
    </w:p>
    <w:p w:rsidR="005044C6" w:rsidRPr="000C7E80" w:rsidRDefault="005044C6" w:rsidP="00BD4A81">
      <w:pPr>
        <w:numPr>
          <w:ilvl w:val="0"/>
          <w:numId w:val="1"/>
        </w:numPr>
        <w:ind w:left="426" w:hanging="426"/>
        <w:rPr>
          <w:rFonts w:cs="Arial"/>
          <w:b/>
        </w:rPr>
      </w:pPr>
      <w:r>
        <w:rPr>
          <w:rFonts w:cs="Arial"/>
        </w:rPr>
        <w:t>There are no legal implications directly relevant to this report</w:t>
      </w:r>
      <w:r w:rsidR="006D7D0D" w:rsidRPr="006D7D0D">
        <w:rPr>
          <w:rFonts w:cs="Arial"/>
        </w:rPr>
        <w:t xml:space="preserve"> but having proper arrangements to manage risk throughout the organisation is an important component of corporate governance</w:t>
      </w:r>
      <w:r>
        <w:rPr>
          <w:rFonts w:cs="Arial"/>
        </w:rPr>
        <w:t>.</w:t>
      </w:r>
    </w:p>
    <w:p w:rsidR="000C7E80" w:rsidRPr="006F4BA2" w:rsidRDefault="000C7E80" w:rsidP="000C7E80">
      <w:pPr>
        <w:ind w:left="426"/>
        <w:rPr>
          <w:rFonts w:cs="Arial"/>
          <w:b/>
        </w:rPr>
      </w:pPr>
    </w:p>
    <w:p w:rsidR="00714894" w:rsidRPr="006E1B35" w:rsidRDefault="00714894" w:rsidP="006F4BA2">
      <w:pPr>
        <w:ind w:left="426"/>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98273F">
            <w:pPr>
              <w:tabs>
                <w:tab w:val="left" w:pos="720"/>
                <w:tab w:val="left" w:pos="1440"/>
                <w:tab w:val="left" w:pos="2160"/>
                <w:tab w:val="left" w:pos="2880"/>
              </w:tabs>
            </w:pPr>
            <w:r>
              <w:t xml:space="preserve">Name:  </w:t>
            </w:r>
            <w:r w:rsidR="0098273F">
              <w:t>Bill Lewis</w:t>
            </w:r>
          </w:p>
        </w:tc>
      </w:tr>
      <w:tr w:rsidR="005D4C4D">
        <w:trPr>
          <w:trHeight w:val="270"/>
        </w:trPr>
        <w:tc>
          <w:tcPr>
            <w:tcW w:w="9664" w:type="dxa"/>
          </w:tcPr>
          <w:p w:rsidR="005D4C4D" w:rsidRDefault="005D4C4D" w:rsidP="0098273F">
            <w:pPr>
              <w:tabs>
                <w:tab w:val="left" w:pos="720"/>
                <w:tab w:val="left" w:pos="1440"/>
                <w:tab w:val="left" w:pos="2160"/>
                <w:tab w:val="left" w:pos="2880"/>
              </w:tabs>
            </w:pPr>
            <w:r>
              <w:t xml:space="preserve">Job title:  </w:t>
            </w:r>
            <w:r w:rsidR="006E1B35">
              <w:t>Financ</w:t>
            </w:r>
            <w:r w:rsidR="00B949C8">
              <w:t xml:space="preserve">ial </w:t>
            </w:r>
            <w:r w:rsidR="0098273F">
              <w:t>Accounting Manager</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98273F">
            <w:pPr>
              <w:tabs>
                <w:tab w:val="left" w:pos="720"/>
                <w:tab w:val="left" w:pos="1440"/>
                <w:tab w:val="left" w:pos="2160"/>
                <w:tab w:val="left" w:pos="2880"/>
              </w:tabs>
              <w:rPr>
                <w:u w:val="single"/>
                <w:lang w:val="de-DE"/>
              </w:rPr>
            </w:pPr>
            <w:r w:rsidRPr="0098273F">
              <w:rPr>
                <w:lang w:val="de-DE"/>
              </w:rPr>
              <w:t>Tel:  01865 252</w:t>
            </w:r>
            <w:r w:rsidR="0098273F" w:rsidRPr="0098273F">
              <w:rPr>
                <w:lang w:val="de-DE"/>
              </w:rPr>
              <w:t>607</w:t>
            </w:r>
            <w:r w:rsidRPr="0098273F">
              <w:rPr>
                <w:lang w:val="de-DE"/>
              </w:rPr>
              <w:t xml:space="preserve">  e-mail:  </w:t>
            </w:r>
            <w:r w:rsidR="0098273F" w:rsidRPr="0098273F">
              <w:rPr>
                <w:lang w:val="de-DE"/>
              </w:rPr>
              <w:t>blewis@oxford.gov.uk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p w:rsidR="009B2ED0" w:rsidRDefault="005D4C4D">
      <w:r>
        <w:rPr>
          <w:b/>
          <w:bCs/>
        </w:rPr>
        <w:t>Version number:</w:t>
      </w:r>
      <w:r w:rsidR="00CC2F8A">
        <w:rPr>
          <w:b/>
          <w:bCs/>
        </w:rPr>
        <w:t xml:space="preserve"> </w:t>
      </w:r>
    </w:p>
    <w:sectPr w:rsidR="009B2ED0" w:rsidSect="00A32A7B">
      <w:pgSz w:w="11906" w:h="16838"/>
      <w:pgMar w:top="851"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CA" w:rsidRDefault="007E61CA">
      <w:r>
        <w:separator/>
      </w:r>
    </w:p>
  </w:endnote>
  <w:endnote w:type="continuationSeparator" w:id="0">
    <w:p w:rsidR="007E61CA" w:rsidRDefault="007E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CA" w:rsidRDefault="007E61CA">
      <w:r>
        <w:separator/>
      </w:r>
    </w:p>
  </w:footnote>
  <w:footnote w:type="continuationSeparator" w:id="0">
    <w:p w:rsidR="007E61CA" w:rsidRDefault="007E6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04601C32"/>
    <w:lvl w:ilvl="0" w:tplc="46324D9C">
      <w:start w:val="1"/>
      <w:numFmt w:val="decimal"/>
      <w:lvlText w:val="%1."/>
      <w:lvlJc w:val="left"/>
      <w:pPr>
        <w:ind w:left="1495" w:hanging="360"/>
      </w:pPr>
      <w:rPr>
        <w:b w:val="0"/>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8">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3F432177"/>
    <w:multiLevelType w:val="hybridMultilevel"/>
    <w:tmpl w:val="21E487F0"/>
    <w:lvl w:ilvl="0" w:tplc="08090001">
      <w:start w:val="1"/>
      <w:numFmt w:val="bullet"/>
      <w:lvlText w:val=""/>
      <w:lvlJc w:val="left"/>
      <w:pPr>
        <w:ind w:left="330"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2">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0">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21">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6"/>
  </w:num>
  <w:num w:numId="4">
    <w:abstractNumId w:val="17"/>
  </w:num>
  <w:num w:numId="5">
    <w:abstractNumId w:val="15"/>
  </w:num>
  <w:num w:numId="6">
    <w:abstractNumId w:val="22"/>
  </w:num>
  <w:num w:numId="7">
    <w:abstractNumId w:val="13"/>
  </w:num>
  <w:num w:numId="8">
    <w:abstractNumId w:val="9"/>
  </w:num>
  <w:num w:numId="9">
    <w:abstractNumId w:val="1"/>
  </w:num>
  <w:num w:numId="10">
    <w:abstractNumId w:val="7"/>
  </w:num>
  <w:num w:numId="11">
    <w:abstractNumId w:val="19"/>
  </w:num>
  <w:num w:numId="12">
    <w:abstractNumId w:val="16"/>
  </w:num>
  <w:num w:numId="13">
    <w:abstractNumId w:val="21"/>
  </w:num>
  <w:num w:numId="14">
    <w:abstractNumId w:val="26"/>
  </w:num>
  <w:num w:numId="15">
    <w:abstractNumId w:val="14"/>
  </w:num>
  <w:num w:numId="16">
    <w:abstractNumId w:val="25"/>
  </w:num>
  <w:num w:numId="17">
    <w:abstractNumId w:val="23"/>
  </w:num>
  <w:num w:numId="18">
    <w:abstractNumId w:val="12"/>
  </w:num>
  <w:num w:numId="19">
    <w:abstractNumId w:val="18"/>
  </w:num>
  <w:num w:numId="20">
    <w:abstractNumId w:val="27"/>
  </w:num>
  <w:num w:numId="21">
    <w:abstractNumId w:val="3"/>
  </w:num>
  <w:num w:numId="22">
    <w:abstractNumId w:val="8"/>
  </w:num>
  <w:num w:numId="23">
    <w:abstractNumId w:val="11"/>
  </w:num>
  <w:num w:numId="24">
    <w:abstractNumId w:val="4"/>
  </w:num>
  <w:num w:numId="25">
    <w:abstractNumId w:val="20"/>
  </w:num>
  <w:num w:numId="26">
    <w:abstractNumId w:val="10"/>
  </w:num>
  <w:num w:numId="27">
    <w:abstractNumId w:val="24"/>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30A0"/>
    <w:rsid w:val="00005681"/>
    <w:rsid w:val="00006806"/>
    <w:rsid w:val="000116FF"/>
    <w:rsid w:val="000150BE"/>
    <w:rsid w:val="000209F8"/>
    <w:rsid w:val="000226F8"/>
    <w:rsid w:val="00022CD2"/>
    <w:rsid w:val="0003315D"/>
    <w:rsid w:val="00035147"/>
    <w:rsid w:val="000359CD"/>
    <w:rsid w:val="00035A9B"/>
    <w:rsid w:val="00035D3E"/>
    <w:rsid w:val="000372FD"/>
    <w:rsid w:val="00037810"/>
    <w:rsid w:val="00041978"/>
    <w:rsid w:val="00044EED"/>
    <w:rsid w:val="000512FC"/>
    <w:rsid w:val="00061638"/>
    <w:rsid w:val="000656DC"/>
    <w:rsid w:val="0007119E"/>
    <w:rsid w:val="000800A8"/>
    <w:rsid w:val="000824E5"/>
    <w:rsid w:val="00083C8A"/>
    <w:rsid w:val="00083E8E"/>
    <w:rsid w:val="00094258"/>
    <w:rsid w:val="000943BA"/>
    <w:rsid w:val="00097027"/>
    <w:rsid w:val="000A1F5E"/>
    <w:rsid w:val="000A2EF0"/>
    <w:rsid w:val="000A470B"/>
    <w:rsid w:val="000A59AB"/>
    <w:rsid w:val="000A6EFA"/>
    <w:rsid w:val="000B2944"/>
    <w:rsid w:val="000C3F41"/>
    <w:rsid w:val="000C3F42"/>
    <w:rsid w:val="000C5C80"/>
    <w:rsid w:val="000C5DA1"/>
    <w:rsid w:val="000C61B2"/>
    <w:rsid w:val="000C7E80"/>
    <w:rsid w:val="000E3982"/>
    <w:rsid w:val="000E3AD2"/>
    <w:rsid w:val="000E4872"/>
    <w:rsid w:val="000E6533"/>
    <w:rsid w:val="000F1F36"/>
    <w:rsid w:val="000F409C"/>
    <w:rsid w:val="000F4153"/>
    <w:rsid w:val="000F72BC"/>
    <w:rsid w:val="0010086E"/>
    <w:rsid w:val="00103614"/>
    <w:rsid w:val="00105B32"/>
    <w:rsid w:val="00106D28"/>
    <w:rsid w:val="001135F8"/>
    <w:rsid w:val="00114E27"/>
    <w:rsid w:val="00116A1A"/>
    <w:rsid w:val="00117CE9"/>
    <w:rsid w:val="00120434"/>
    <w:rsid w:val="00123CDC"/>
    <w:rsid w:val="001312CC"/>
    <w:rsid w:val="0013217E"/>
    <w:rsid w:val="001332FB"/>
    <w:rsid w:val="0013589B"/>
    <w:rsid w:val="001511AA"/>
    <w:rsid w:val="001552CD"/>
    <w:rsid w:val="00155B6E"/>
    <w:rsid w:val="00160A94"/>
    <w:rsid w:val="00161381"/>
    <w:rsid w:val="001662D8"/>
    <w:rsid w:val="00172CC0"/>
    <w:rsid w:val="0018188C"/>
    <w:rsid w:val="00182BE8"/>
    <w:rsid w:val="0018663D"/>
    <w:rsid w:val="001918F7"/>
    <w:rsid w:val="001955EA"/>
    <w:rsid w:val="001A0D94"/>
    <w:rsid w:val="001A38FB"/>
    <w:rsid w:val="001A59EF"/>
    <w:rsid w:val="001A7428"/>
    <w:rsid w:val="001B71A6"/>
    <w:rsid w:val="001C12BA"/>
    <w:rsid w:val="001C14DE"/>
    <w:rsid w:val="001C2C32"/>
    <w:rsid w:val="001C5873"/>
    <w:rsid w:val="001D1A03"/>
    <w:rsid w:val="001D1CE1"/>
    <w:rsid w:val="001D52EF"/>
    <w:rsid w:val="001D7CD8"/>
    <w:rsid w:val="001E7A5E"/>
    <w:rsid w:val="001F236C"/>
    <w:rsid w:val="001F3FA7"/>
    <w:rsid w:val="00200CC5"/>
    <w:rsid w:val="00204166"/>
    <w:rsid w:val="002059C1"/>
    <w:rsid w:val="002067B3"/>
    <w:rsid w:val="00210798"/>
    <w:rsid w:val="00211DE3"/>
    <w:rsid w:val="00212B06"/>
    <w:rsid w:val="002168D6"/>
    <w:rsid w:val="00217B95"/>
    <w:rsid w:val="00222D83"/>
    <w:rsid w:val="00225BFE"/>
    <w:rsid w:val="00227C81"/>
    <w:rsid w:val="00240250"/>
    <w:rsid w:val="00240A01"/>
    <w:rsid w:val="002461BE"/>
    <w:rsid w:val="00253880"/>
    <w:rsid w:val="00260B0E"/>
    <w:rsid w:val="00263649"/>
    <w:rsid w:val="00265840"/>
    <w:rsid w:val="0026668B"/>
    <w:rsid w:val="002730E7"/>
    <w:rsid w:val="00274856"/>
    <w:rsid w:val="00283734"/>
    <w:rsid w:val="002853B4"/>
    <w:rsid w:val="0028751D"/>
    <w:rsid w:val="002913F5"/>
    <w:rsid w:val="00293CF3"/>
    <w:rsid w:val="00294C46"/>
    <w:rsid w:val="002A465B"/>
    <w:rsid w:val="002B1B9E"/>
    <w:rsid w:val="002B3272"/>
    <w:rsid w:val="002B3F3D"/>
    <w:rsid w:val="002B79FC"/>
    <w:rsid w:val="002C35AB"/>
    <w:rsid w:val="002D0CDF"/>
    <w:rsid w:val="002D3856"/>
    <w:rsid w:val="002E2A7E"/>
    <w:rsid w:val="002E7245"/>
    <w:rsid w:val="002E7B2E"/>
    <w:rsid w:val="002F058F"/>
    <w:rsid w:val="002F1875"/>
    <w:rsid w:val="002F40E8"/>
    <w:rsid w:val="002F7B75"/>
    <w:rsid w:val="003072AE"/>
    <w:rsid w:val="00315362"/>
    <w:rsid w:val="0032749E"/>
    <w:rsid w:val="00330299"/>
    <w:rsid w:val="00330BE7"/>
    <w:rsid w:val="00332507"/>
    <w:rsid w:val="003325B6"/>
    <w:rsid w:val="0033385A"/>
    <w:rsid w:val="0033503E"/>
    <w:rsid w:val="00335660"/>
    <w:rsid w:val="003473B2"/>
    <w:rsid w:val="00350047"/>
    <w:rsid w:val="0035020F"/>
    <w:rsid w:val="0035126E"/>
    <w:rsid w:val="0035451F"/>
    <w:rsid w:val="00354C82"/>
    <w:rsid w:val="00356672"/>
    <w:rsid w:val="00357136"/>
    <w:rsid w:val="00362BDE"/>
    <w:rsid w:val="00372049"/>
    <w:rsid w:val="003725E4"/>
    <w:rsid w:val="0037288A"/>
    <w:rsid w:val="003741D2"/>
    <w:rsid w:val="00377013"/>
    <w:rsid w:val="00384F1A"/>
    <w:rsid w:val="00387A11"/>
    <w:rsid w:val="003A197C"/>
    <w:rsid w:val="003B022E"/>
    <w:rsid w:val="003B077C"/>
    <w:rsid w:val="003B7B73"/>
    <w:rsid w:val="003C5909"/>
    <w:rsid w:val="003C712C"/>
    <w:rsid w:val="003D6B03"/>
    <w:rsid w:val="003D700B"/>
    <w:rsid w:val="003E1847"/>
    <w:rsid w:val="003E28CA"/>
    <w:rsid w:val="003E6245"/>
    <w:rsid w:val="003F462C"/>
    <w:rsid w:val="00401946"/>
    <w:rsid w:val="00402EA9"/>
    <w:rsid w:val="004036A7"/>
    <w:rsid w:val="00411114"/>
    <w:rsid w:val="00413E26"/>
    <w:rsid w:val="00416F5F"/>
    <w:rsid w:val="00417135"/>
    <w:rsid w:val="004258ED"/>
    <w:rsid w:val="004331BA"/>
    <w:rsid w:val="00435C74"/>
    <w:rsid w:val="00444E8B"/>
    <w:rsid w:val="00445174"/>
    <w:rsid w:val="004463C3"/>
    <w:rsid w:val="004504AB"/>
    <w:rsid w:val="0045464F"/>
    <w:rsid w:val="00454796"/>
    <w:rsid w:val="004563C8"/>
    <w:rsid w:val="00463DCF"/>
    <w:rsid w:val="00463E24"/>
    <w:rsid w:val="004651DF"/>
    <w:rsid w:val="00472F74"/>
    <w:rsid w:val="004735DB"/>
    <w:rsid w:val="0047431D"/>
    <w:rsid w:val="00474485"/>
    <w:rsid w:val="00475F85"/>
    <w:rsid w:val="004828D3"/>
    <w:rsid w:val="00486412"/>
    <w:rsid w:val="00491160"/>
    <w:rsid w:val="0049146A"/>
    <w:rsid w:val="004935F2"/>
    <w:rsid w:val="00493B65"/>
    <w:rsid w:val="004A2A9F"/>
    <w:rsid w:val="004A3F68"/>
    <w:rsid w:val="004A494A"/>
    <w:rsid w:val="004A5381"/>
    <w:rsid w:val="004A700B"/>
    <w:rsid w:val="004B0400"/>
    <w:rsid w:val="004B19A9"/>
    <w:rsid w:val="004B2094"/>
    <w:rsid w:val="004B2C60"/>
    <w:rsid w:val="004B77FC"/>
    <w:rsid w:val="004C0542"/>
    <w:rsid w:val="004C0C0E"/>
    <w:rsid w:val="004C43DE"/>
    <w:rsid w:val="004D034A"/>
    <w:rsid w:val="004D33D0"/>
    <w:rsid w:val="004D4BC9"/>
    <w:rsid w:val="004D67CD"/>
    <w:rsid w:val="004E0B74"/>
    <w:rsid w:val="004F74DE"/>
    <w:rsid w:val="004F7B45"/>
    <w:rsid w:val="005044C6"/>
    <w:rsid w:val="005064F0"/>
    <w:rsid w:val="005101F7"/>
    <w:rsid w:val="00514497"/>
    <w:rsid w:val="00516A5C"/>
    <w:rsid w:val="00520C82"/>
    <w:rsid w:val="00521DC4"/>
    <w:rsid w:val="00523C31"/>
    <w:rsid w:val="005266AA"/>
    <w:rsid w:val="00526E3B"/>
    <w:rsid w:val="00527607"/>
    <w:rsid w:val="00530F4A"/>
    <w:rsid w:val="005313BC"/>
    <w:rsid w:val="00531F1E"/>
    <w:rsid w:val="005323C6"/>
    <w:rsid w:val="0053306E"/>
    <w:rsid w:val="00533B94"/>
    <w:rsid w:val="00533FD2"/>
    <w:rsid w:val="00536C64"/>
    <w:rsid w:val="00541DC1"/>
    <w:rsid w:val="005506D6"/>
    <w:rsid w:val="005510D8"/>
    <w:rsid w:val="00551191"/>
    <w:rsid w:val="00554844"/>
    <w:rsid w:val="005578C1"/>
    <w:rsid w:val="0056210B"/>
    <w:rsid w:val="0056251F"/>
    <w:rsid w:val="005630E7"/>
    <w:rsid w:val="00567018"/>
    <w:rsid w:val="00570D05"/>
    <w:rsid w:val="00583B45"/>
    <w:rsid w:val="005905C2"/>
    <w:rsid w:val="005917AE"/>
    <w:rsid w:val="005925B6"/>
    <w:rsid w:val="005976C4"/>
    <w:rsid w:val="005A38B3"/>
    <w:rsid w:val="005A5B9F"/>
    <w:rsid w:val="005A664C"/>
    <w:rsid w:val="005B0232"/>
    <w:rsid w:val="005B2AF6"/>
    <w:rsid w:val="005B360C"/>
    <w:rsid w:val="005C4131"/>
    <w:rsid w:val="005D33C2"/>
    <w:rsid w:val="005D3F27"/>
    <w:rsid w:val="005D44A4"/>
    <w:rsid w:val="005D4C4D"/>
    <w:rsid w:val="005D546F"/>
    <w:rsid w:val="005D6C51"/>
    <w:rsid w:val="005D6DCA"/>
    <w:rsid w:val="005E0A67"/>
    <w:rsid w:val="005E0B00"/>
    <w:rsid w:val="005E7711"/>
    <w:rsid w:val="005F14EF"/>
    <w:rsid w:val="005F174D"/>
    <w:rsid w:val="005F4140"/>
    <w:rsid w:val="005F7D21"/>
    <w:rsid w:val="00600995"/>
    <w:rsid w:val="00601057"/>
    <w:rsid w:val="00603981"/>
    <w:rsid w:val="00603E8E"/>
    <w:rsid w:val="00607866"/>
    <w:rsid w:val="0061340A"/>
    <w:rsid w:val="00613D43"/>
    <w:rsid w:val="006173D8"/>
    <w:rsid w:val="00621B9B"/>
    <w:rsid w:val="006251C1"/>
    <w:rsid w:val="00635911"/>
    <w:rsid w:val="0065305B"/>
    <w:rsid w:val="00654A79"/>
    <w:rsid w:val="00656E91"/>
    <w:rsid w:val="00662A0F"/>
    <w:rsid w:val="00670340"/>
    <w:rsid w:val="00675C69"/>
    <w:rsid w:val="00676008"/>
    <w:rsid w:val="00677B45"/>
    <w:rsid w:val="00682D25"/>
    <w:rsid w:val="0068485E"/>
    <w:rsid w:val="00687F6F"/>
    <w:rsid w:val="0069059C"/>
    <w:rsid w:val="00691981"/>
    <w:rsid w:val="0069250F"/>
    <w:rsid w:val="00692CAE"/>
    <w:rsid w:val="00693ED6"/>
    <w:rsid w:val="00697879"/>
    <w:rsid w:val="006A5B5A"/>
    <w:rsid w:val="006B2096"/>
    <w:rsid w:val="006C24A9"/>
    <w:rsid w:val="006C7363"/>
    <w:rsid w:val="006D20BA"/>
    <w:rsid w:val="006D645E"/>
    <w:rsid w:val="006D7D0D"/>
    <w:rsid w:val="006E1B35"/>
    <w:rsid w:val="006E1B5A"/>
    <w:rsid w:val="006E1BC3"/>
    <w:rsid w:val="006E36F3"/>
    <w:rsid w:val="006E3831"/>
    <w:rsid w:val="006E44BB"/>
    <w:rsid w:val="006E67C4"/>
    <w:rsid w:val="006F3808"/>
    <w:rsid w:val="006F4BA2"/>
    <w:rsid w:val="006F5910"/>
    <w:rsid w:val="00701296"/>
    <w:rsid w:val="00701D7D"/>
    <w:rsid w:val="00704730"/>
    <w:rsid w:val="007053CF"/>
    <w:rsid w:val="00706224"/>
    <w:rsid w:val="007070D0"/>
    <w:rsid w:val="00710466"/>
    <w:rsid w:val="00710A17"/>
    <w:rsid w:val="007137F7"/>
    <w:rsid w:val="00714894"/>
    <w:rsid w:val="007154CE"/>
    <w:rsid w:val="0072307E"/>
    <w:rsid w:val="0072591D"/>
    <w:rsid w:val="00727179"/>
    <w:rsid w:val="00727ED1"/>
    <w:rsid w:val="00740F03"/>
    <w:rsid w:val="00741810"/>
    <w:rsid w:val="007427D4"/>
    <w:rsid w:val="00752C6B"/>
    <w:rsid w:val="00764079"/>
    <w:rsid w:val="00766998"/>
    <w:rsid w:val="0077104B"/>
    <w:rsid w:val="00771F55"/>
    <w:rsid w:val="00773961"/>
    <w:rsid w:val="0077440D"/>
    <w:rsid w:val="00775A30"/>
    <w:rsid w:val="00777F68"/>
    <w:rsid w:val="00777FC6"/>
    <w:rsid w:val="0078409C"/>
    <w:rsid w:val="007A68B2"/>
    <w:rsid w:val="007B314C"/>
    <w:rsid w:val="007C1DC6"/>
    <w:rsid w:val="007C6046"/>
    <w:rsid w:val="007C63CC"/>
    <w:rsid w:val="007D13DA"/>
    <w:rsid w:val="007D331D"/>
    <w:rsid w:val="007E1B08"/>
    <w:rsid w:val="007E61CA"/>
    <w:rsid w:val="007F1631"/>
    <w:rsid w:val="007F3944"/>
    <w:rsid w:val="007F5272"/>
    <w:rsid w:val="007F5BF2"/>
    <w:rsid w:val="007F6E5E"/>
    <w:rsid w:val="007F76F2"/>
    <w:rsid w:val="0080618D"/>
    <w:rsid w:val="00811D8A"/>
    <w:rsid w:val="00814BB4"/>
    <w:rsid w:val="00815488"/>
    <w:rsid w:val="00815E85"/>
    <w:rsid w:val="0082449A"/>
    <w:rsid w:val="00824A81"/>
    <w:rsid w:val="008306D4"/>
    <w:rsid w:val="008346CA"/>
    <w:rsid w:val="00834BCC"/>
    <w:rsid w:val="0083795F"/>
    <w:rsid w:val="008455D5"/>
    <w:rsid w:val="00846DC5"/>
    <w:rsid w:val="00851BB4"/>
    <w:rsid w:val="0085475D"/>
    <w:rsid w:val="00855B96"/>
    <w:rsid w:val="00871681"/>
    <w:rsid w:val="0087523F"/>
    <w:rsid w:val="00877A3D"/>
    <w:rsid w:val="00885D91"/>
    <w:rsid w:val="008919F7"/>
    <w:rsid w:val="00891DC1"/>
    <w:rsid w:val="00895AE4"/>
    <w:rsid w:val="008A4353"/>
    <w:rsid w:val="008A7BD9"/>
    <w:rsid w:val="008B286F"/>
    <w:rsid w:val="008C1A0F"/>
    <w:rsid w:val="008C1BB8"/>
    <w:rsid w:val="008C5C1C"/>
    <w:rsid w:val="008D3203"/>
    <w:rsid w:val="008E001F"/>
    <w:rsid w:val="008E09D0"/>
    <w:rsid w:val="008E1145"/>
    <w:rsid w:val="008E285A"/>
    <w:rsid w:val="008E5A73"/>
    <w:rsid w:val="008F289B"/>
    <w:rsid w:val="008F2A4E"/>
    <w:rsid w:val="008F4DA3"/>
    <w:rsid w:val="008F67EF"/>
    <w:rsid w:val="008F7B19"/>
    <w:rsid w:val="00900C7F"/>
    <w:rsid w:val="00903458"/>
    <w:rsid w:val="00903C3C"/>
    <w:rsid w:val="009051BE"/>
    <w:rsid w:val="0091176F"/>
    <w:rsid w:val="00912361"/>
    <w:rsid w:val="009142E5"/>
    <w:rsid w:val="00915EC3"/>
    <w:rsid w:val="009176DB"/>
    <w:rsid w:val="00922EBF"/>
    <w:rsid w:val="00926E63"/>
    <w:rsid w:val="00934EA9"/>
    <w:rsid w:val="00941E4F"/>
    <w:rsid w:val="00945E7B"/>
    <w:rsid w:val="0094682F"/>
    <w:rsid w:val="009473F5"/>
    <w:rsid w:val="009538B4"/>
    <w:rsid w:val="0096047C"/>
    <w:rsid w:val="009620A8"/>
    <w:rsid w:val="0096633B"/>
    <w:rsid w:val="00966BBE"/>
    <w:rsid w:val="0096749E"/>
    <w:rsid w:val="00971E0D"/>
    <w:rsid w:val="009723ED"/>
    <w:rsid w:val="00972FEF"/>
    <w:rsid w:val="00976E30"/>
    <w:rsid w:val="0098273F"/>
    <w:rsid w:val="00986C1F"/>
    <w:rsid w:val="00993A4E"/>
    <w:rsid w:val="00995E4A"/>
    <w:rsid w:val="009A2E92"/>
    <w:rsid w:val="009B17D6"/>
    <w:rsid w:val="009B2610"/>
    <w:rsid w:val="009B2ED0"/>
    <w:rsid w:val="009B3D3E"/>
    <w:rsid w:val="009B5A72"/>
    <w:rsid w:val="009C004C"/>
    <w:rsid w:val="009D3912"/>
    <w:rsid w:val="009D3FFE"/>
    <w:rsid w:val="009D6722"/>
    <w:rsid w:val="009D7937"/>
    <w:rsid w:val="009E0A5A"/>
    <w:rsid w:val="009E34F6"/>
    <w:rsid w:val="009E6D5E"/>
    <w:rsid w:val="009F6875"/>
    <w:rsid w:val="009F6D40"/>
    <w:rsid w:val="00A01542"/>
    <w:rsid w:val="00A01D6B"/>
    <w:rsid w:val="00A04E24"/>
    <w:rsid w:val="00A06DE4"/>
    <w:rsid w:val="00A10B89"/>
    <w:rsid w:val="00A20074"/>
    <w:rsid w:val="00A21178"/>
    <w:rsid w:val="00A24256"/>
    <w:rsid w:val="00A27069"/>
    <w:rsid w:val="00A32774"/>
    <w:rsid w:val="00A32A7B"/>
    <w:rsid w:val="00A3538B"/>
    <w:rsid w:val="00A36D0D"/>
    <w:rsid w:val="00A4088F"/>
    <w:rsid w:val="00A40943"/>
    <w:rsid w:val="00A4396F"/>
    <w:rsid w:val="00A45D10"/>
    <w:rsid w:val="00A47CCA"/>
    <w:rsid w:val="00A50E23"/>
    <w:rsid w:val="00A51044"/>
    <w:rsid w:val="00A566D4"/>
    <w:rsid w:val="00A60507"/>
    <w:rsid w:val="00A65250"/>
    <w:rsid w:val="00A7570E"/>
    <w:rsid w:val="00A75747"/>
    <w:rsid w:val="00A765CE"/>
    <w:rsid w:val="00A77C53"/>
    <w:rsid w:val="00A8286B"/>
    <w:rsid w:val="00A840F5"/>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68"/>
    <w:rsid w:val="00AD3823"/>
    <w:rsid w:val="00AD6B0C"/>
    <w:rsid w:val="00AE0538"/>
    <w:rsid w:val="00AE12E9"/>
    <w:rsid w:val="00AF08EC"/>
    <w:rsid w:val="00AF5A15"/>
    <w:rsid w:val="00AF7455"/>
    <w:rsid w:val="00AF79B7"/>
    <w:rsid w:val="00B05FE6"/>
    <w:rsid w:val="00B10289"/>
    <w:rsid w:val="00B10A93"/>
    <w:rsid w:val="00B10F8A"/>
    <w:rsid w:val="00B11021"/>
    <w:rsid w:val="00B1424E"/>
    <w:rsid w:val="00B17A5F"/>
    <w:rsid w:val="00B227BD"/>
    <w:rsid w:val="00B23FD9"/>
    <w:rsid w:val="00B35F74"/>
    <w:rsid w:val="00B4694E"/>
    <w:rsid w:val="00B5477F"/>
    <w:rsid w:val="00B5509D"/>
    <w:rsid w:val="00B60D6F"/>
    <w:rsid w:val="00B647CA"/>
    <w:rsid w:val="00B64C35"/>
    <w:rsid w:val="00B72E67"/>
    <w:rsid w:val="00B72FD0"/>
    <w:rsid w:val="00B73F00"/>
    <w:rsid w:val="00B7705C"/>
    <w:rsid w:val="00B80F0F"/>
    <w:rsid w:val="00B822CF"/>
    <w:rsid w:val="00B84406"/>
    <w:rsid w:val="00B8588B"/>
    <w:rsid w:val="00B86D66"/>
    <w:rsid w:val="00B876E7"/>
    <w:rsid w:val="00B92D4E"/>
    <w:rsid w:val="00B93406"/>
    <w:rsid w:val="00B949C8"/>
    <w:rsid w:val="00B94A04"/>
    <w:rsid w:val="00BA0E6F"/>
    <w:rsid w:val="00BA1074"/>
    <w:rsid w:val="00BA2E9D"/>
    <w:rsid w:val="00BA385D"/>
    <w:rsid w:val="00BB69D8"/>
    <w:rsid w:val="00BB77BA"/>
    <w:rsid w:val="00BC75F6"/>
    <w:rsid w:val="00BD2CF5"/>
    <w:rsid w:val="00BD2F94"/>
    <w:rsid w:val="00BD3B30"/>
    <w:rsid w:val="00BD4A81"/>
    <w:rsid w:val="00BD7D8B"/>
    <w:rsid w:val="00BE03C0"/>
    <w:rsid w:val="00BE0411"/>
    <w:rsid w:val="00BE052E"/>
    <w:rsid w:val="00BE6C6D"/>
    <w:rsid w:val="00BF0264"/>
    <w:rsid w:val="00BF2C68"/>
    <w:rsid w:val="00BF345E"/>
    <w:rsid w:val="00BF5570"/>
    <w:rsid w:val="00C0207D"/>
    <w:rsid w:val="00C04168"/>
    <w:rsid w:val="00C042C7"/>
    <w:rsid w:val="00C045D2"/>
    <w:rsid w:val="00C05488"/>
    <w:rsid w:val="00C05AEE"/>
    <w:rsid w:val="00C10CA3"/>
    <w:rsid w:val="00C1367B"/>
    <w:rsid w:val="00C13FA7"/>
    <w:rsid w:val="00C170ED"/>
    <w:rsid w:val="00C21B6C"/>
    <w:rsid w:val="00C26D2B"/>
    <w:rsid w:val="00C311F3"/>
    <w:rsid w:val="00C3282B"/>
    <w:rsid w:val="00C33662"/>
    <w:rsid w:val="00C40145"/>
    <w:rsid w:val="00C40556"/>
    <w:rsid w:val="00C44636"/>
    <w:rsid w:val="00C52909"/>
    <w:rsid w:val="00C5428A"/>
    <w:rsid w:val="00C56C4C"/>
    <w:rsid w:val="00C612D6"/>
    <w:rsid w:val="00C612F5"/>
    <w:rsid w:val="00C618BF"/>
    <w:rsid w:val="00C64350"/>
    <w:rsid w:val="00C73655"/>
    <w:rsid w:val="00C75D40"/>
    <w:rsid w:val="00C769C9"/>
    <w:rsid w:val="00C8067E"/>
    <w:rsid w:val="00C8229E"/>
    <w:rsid w:val="00C83A76"/>
    <w:rsid w:val="00C83DA1"/>
    <w:rsid w:val="00C93F91"/>
    <w:rsid w:val="00C94258"/>
    <w:rsid w:val="00C9523E"/>
    <w:rsid w:val="00C95B34"/>
    <w:rsid w:val="00C95F06"/>
    <w:rsid w:val="00CA1732"/>
    <w:rsid w:val="00CA2DFA"/>
    <w:rsid w:val="00CA7E5E"/>
    <w:rsid w:val="00CB09C1"/>
    <w:rsid w:val="00CB1DA6"/>
    <w:rsid w:val="00CB5086"/>
    <w:rsid w:val="00CB6B73"/>
    <w:rsid w:val="00CC1BAC"/>
    <w:rsid w:val="00CC2F8A"/>
    <w:rsid w:val="00CC37F9"/>
    <w:rsid w:val="00CC3908"/>
    <w:rsid w:val="00CC5782"/>
    <w:rsid w:val="00CD0532"/>
    <w:rsid w:val="00CD3C50"/>
    <w:rsid w:val="00CD4C5D"/>
    <w:rsid w:val="00CE3DFC"/>
    <w:rsid w:val="00CE493A"/>
    <w:rsid w:val="00CE5596"/>
    <w:rsid w:val="00CF6B23"/>
    <w:rsid w:val="00CF6FA6"/>
    <w:rsid w:val="00D07007"/>
    <w:rsid w:val="00D1078F"/>
    <w:rsid w:val="00D30906"/>
    <w:rsid w:val="00D3115F"/>
    <w:rsid w:val="00D324EB"/>
    <w:rsid w:val="00D327A9"/>
    <w:rsid w:val="00D3500F"/>
    <w:rsid w:val="00D407AF"/>
    <w:rsid w:val="00D44004"/>
    <w:rsid w:val="00D46E89"/>
    <w:rsid w:val="00D5019E"/>
    <w:rsid w:val="00D52515"/>
    <w:rsid w:val="00D52D74"/>
    <w:rsid w:val="00D54FA9"/>
    <w:rsid w:val="00D555A4"/>
    <w:rsid w:val="00D55B7F"/>
    <w:rsid w:val="00D60224"/>
    <w:rsid w:val="00D73706"/>
    <w:rsid w:val="00D74C9D"/>
    <w:rsid w:val="00D75E4E"/>
    <w:rsid w:val="00D90D6C"/>
    <w:rsid w:val="00DA0D01"/>
    <w:rsid w:val="00DA2561"/>
    <w:rsid w:val="00DA67C6"/>
    <w:rsid w:val="00DA7454"/>
    <w:rsid w:val="00DB3198"/>
    <w:rsid w:val="00DB6773"/>
    <w:rsid w:val="00DC4CD4"/>
    <w:rsid w:val="00DC7F06"/>
    <w:rsid w:val="00DD2A1D"/>
    <w:rsid w:val="00DD64C0"/>
    <w:rsid w:val="00DE11B2"/>
    <w:rsid w:val="00DE45FB"/>
    <w:rsid w:val="00DE5CF6"/>
    <w:rsid w:val="00DE6018"/>
    <w:rsid w:val="00DF0BD7"/>
    <w:rsid w:val="00DF2670"/>
    <w:rsid w:val="00DF72E5"/>
    <w:rsid w:val="00DF735B"/>
    <w:rsid w:val="00E03E41"/>
    <w:rsid w:val="00E04FE9"/>
    <w:rsid w:val="00E21168"/>
    <w:rsid w:val="00E21EE8"/>
    <w:rsid w:val="00E23A99"/>
    <w:rsid w:val="00E26FB2"/>
    <w:rsid w:val="00E273E7"/>
    <w:rsid w:val="00E30012"/>
    <w:rsid w:val="00E30D73"/>
    <w:rsid w:val="00E32A3E"/>
    <w:rsid w:val="00E34CB9"/>
    <w:rsid w:val="00E355D8"/>
    <w:rsid w:val="00E3691F"/>
    <w:rsid w:val="00E406B1"/>
    <w:rsid w:val="00E44776"/>
    <w:rsid w:val="00E44D19"/>
    <w:rsid w:val="00E519E0"/>
    <w:rsid w:val="00E542C4"/>
    <w:rsid w:val="00E60CE2"/>
    <w:rsid w:val="00E60EA3"/>
    <w:rsid w:val="00E61305"/>
    <w:rsid w:val="00E620C7"/>
    <w:rsid w:val="00E6586A"/>
    <w:rsid w:val="00E73998"/>
    <w:rsid w:val="00E863EB"/>
    <w:rsid w:val="00E9419C"/>
    <w:rsid w:val="00E9623A"/>
    <w:rsid w:val="00EA0E2B"/>
    <w:rsid w:val="00EA0EF8"/>
    <w:rsid w:val="00EA4D64"/>
    <w:rsid w:val="00EA62A2"/>
    <w:rsid w:val="00EA6F85"/>
    <w:rsid w:val="00EB300C"/>
    <w:rsid w:val="00EB5CBE"/>
    <w:rsid w:val="00EB5F90"/>
    <w:rsid w:val="00EB7189"/>
    <w:rsid w:val="00EC1C61"/>
    <w:rsid w:val="00EC4BF0"/>
    <w:rsid w:val="00EC4C3C"/>
    <w:rsid w:val="00EC4CED"/>
    <w:rsid w:val="00EC5640"/>
    <w:rsid w:val="00ED0EEB"/>
    <w:rsid w:val="00ED14DF"/>
    <w:rsid w:val="00ED2E19"/>
    <w:rsid w:val="00ED3C21"/>
    <w:rsid w:val="00ED50C4"/>
    <w:rsid w:val="00ED6660"/>
    <w:rsid w:val="00ED7D23"/>
    <w:rsid w:val="00EE5600"/>
    <w:rsid w:val="00EE693B"/>
    <w:rsid w:val="00EF0FA5"/>
    <w:rsid w:val="00EF18E8"/>
    <w:rsid w:val="00EF1FDC"/>
    <w:rsid w:val="00EF7125"/>
    <w:rsid w:val="00F001E4"/>
    <w:rsid w:val="00F02608"/>
    <w:rsid w:val="00F0793A"/>
    <w:rsid w:val="00F125B0"/>
    <w:rsid w:val="00F260C7"/>
    <w:rsid w:val="00F3031D"/>
    <w:rsid w:val="00F31074"/>
    <w:rsid w:val="00F41061"/>
    <w:rsid w:val="00F42C47"/>
    <w:rsid w:val="00F65931"/>
    <w:rsid w:val="00F65A44"/>
    <w:rsid w:val="00F67BAC"/>
    <w:rsid w:val="00F745A2"/>
    <w:rsid w:val="00F74CCF"/>
    <w:rsid w:val="00F7569D"/>
    <w:rsid w:val="00F75F74"/>
    <w:rsid w:val="00F860AC"/>
    <w:rsid w:val="00F920EE"/>
    <w:rsid w:val="00F932C4"/>
    <w:rsid w:val="00F93E02"/>
    <w:rsid w:val="00FA0170"/>
    <w:rsid w:val="00FA5461"/>
    <w:rsid w:val="00FA5881"/>
    <w:rsid w:val="00FB743D"/>
    <w:rsid w:val="00FB7C22"/>
    <w:rsid w:val="00FC4E1A"/>
    <w:rsid w:val="00FC5E67"/>
    <w:rsid w:val="00FD54EE"/>
    <w:rsid w:val="00FD555E"/>
    <w:rsid w:val="00FE1DBF"/>
    <w:rsid w:val="00FE49DE"/>
    <w:rsid w:val="00FE49E4"/>
    <w:rsid w:val="00FE561E"/>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D394-9292-4DBB-B9F5-AFC0D478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CA4A8D59</Template>
  <TotalTime>1</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7628</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Bill Lewis</cp:lastModifiedBy>
  <cp:revision>2</cp:revision>
  <cp:lastPrinted>2015-08-10T13:07:00Z</cp:lastPrinted>
  <dcterms:created xsi:type="dcterms:W3CDTF">2016-02-22T13:36:00Z</dcterms:created>
  <dcterms:modified xsi:type="dcterms:W3CDTF">2016-02-22T13:36:00Z</dcterms:modified>
</cp:coreProperties>
</file>